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BD4CE2" w:rsidRDefault="00011212">
            <w:pPr>
              <w:jc w:val="both"/>
              <w:rPr>
                <w:rFonts w:ascii="Arial" w:hAnsi="Arial"/>
                <w:b/>
                <w:bCs/>
                <w:color w:val="000000" w:themeColor="text1"/>
                <w:sz w:val="26"/>
                <w:szCs w:val="26"/>
              </w:rPr>
            </w:pPr>
            <w:r w:rsidRPr="00BD4CE2">
              <w:rPr>
                <w:rFonts w:ascii="Arial" w:hAnsi="Arial" w:hint="cs"/>
                <w:b/>
                <w:bCs/>
                <w:color w:val="000000" w:themeColor="text1"/>
                <w:sz w:val="26"/>
                <w:szCs w:val="26"/>
                <w:rtl/>
              </w:rPr>
              <w:t>ב</w:t>
            </w:r>
            <w:r w:rsidRPr="00BD4CE2">
              <w:rPr>
                <w:rFonts w:ascii="Arial" w:hAnsi="Arial"/>
                <w:b/>
                <w:bCs/>
                <w:color w:val="000000" w:themeColor="text1"/>
                <w:sz w:val="26"/>
                <w:szCs w:val="26"/>
                <w:rtl/>
              </w:rPr>
              <w:t xml:space="preserve">פני </w:t>
            </w:r>
          </w:p>
        </w:tc>
        <w:tc>
          <w:tcPr>
            <w:tcW w:w="8077" w:type="dxa"/>
            <w:gridSpan w:val="2"/>
          </w:tcPr>
          <w:p w:rsidR="002914D6" w:rsidRPr="00BD4CE2" w:rsidRDefault="00011212">
            <w:pPr>
              <w:rPr>
                <w:rFonts w:ascii="Arial" w:hAnsi="Arial"/>
                <w:b/>
                <w:bCs/>
                <w:color w:val="000000" w:themeColor="text1"/>
                <w:sz w:val="26"/>
                <w:szCs w:val="26"/>
                <w:rtl/>
              </w:rPr>
            </w:pPr>
            <w:r w:rsidRPr="00BD4CE2">
              <w:rPr>
                <w:rFonts w:ascii="Arial" w:hAnsi="Arial" w:hint="cs"/>
                <w:b/>
                <w:bCs/>
                <w:color w:val="000000" w:themeColor="text1"/>
                <w:sz w:val="26"/>
                <w:szCs w:val="26"/>
                <w:rtl/>
              </w:rPr>
              <w:t>כב' ה</w:t>
            </w:r>
            <w:r w:rsidRPr="00BD4CE2">
              <w:rPr>
                <w:rFonts w:ascii="Arial" w:hAnsi="Arial"/>
                <w:b/>
                <w:bCs/>
                <w:color w:val="000000" w:themeColor="text1"/>
                <w:sz w:val="26"/>
                <w:szCs w:val="26"/>
                <w:rtl/>
              </w:rPr>
              <w:t>שופטת</w:t>
            </w:r>
            <w:r w:rsidRPr="00BD4CE2">
              <w:rPr>
                <w:rFonts w:ascii="Arial" w:hAnsi="Arial" w:hint="cs"/>
                <w:b/>
                <w:bCs/>
                <w:color w:val="000000" w:themeColor="text1"/>
                <w:sz w:val="26"/>
                <w:szCs w:val="26"/>
                <w:rtl/>
              </w:rPr>
              <w:t xml:space="preserve">  </w:t>
            </w:r>
            <w:r w:rsidRPr="00BD4CE2">
              <w:rPr>
                <w:rFonts w:ascii="Arial" w:hAnsi="Arial"/>
                <w:b/>
                <w:bCs/>
                <w:color w:val="000000" w:themeColor="text1"/>
                <w:sz w:val="26"/>
                <w:szCs w:val="26"/>
                <w:rtl/>
              </w:rPr>
              <w:t>תמר סנונית פורר</w:t>
            </w:r>
          </w:p>
          <w:p w:rsidR="002914D6" w:rsidRPr="00BD4CE2" w:rsidRDefault="002914D6">
            <w:pPr>
              <w:rPr>
                <w:rFonts w:ascii="Arial" w:hAnsi="Arial" w:cs="FrankRuehl"/>
                <w:color w:val="000000" w:themeColor="text1"/>
                <w:sz w:val="26"/>
                <w:szCs w:val="26"/>
                <w:highlight w:val="yellow"/>
              </w:rPr>
            </w:pPr>
          </w:p>
        </w:tc>
      </w:tr>
      <w:tr w:rsidR="002914D6">
        <w:trPr>
          <w:jc w:val="center"/>
        </w:trPr>
        <w:tc>
          <w:tcPr>
            <w:tcW w:w="3249" w:type="dxa"/>
            <w:gridSpan w:val="2"/>
          </w:tcPr>
          <w:p w:rsidR="002914D6" w:rsidRPr="00BD4CE2" w:rsidRDefault="00F737CF" w:rsidP="00F737CF">
            <w:pPr>
              <w:rPr>
                <w:rFonts w:ascii="Arial" w:hAnsi="Arial"/>
                <w:b/>
                <w:bCs/>
                <w:noProof w:val="0"/>
                <w:color w:val="000000" w:themeColor="text1"/>
                <w:sz w:val="26"/>
                <w:szCs w:val="26"/>
                <w:u w:val="single"/>
                <w:rtl/>
              </w:rPr>
            </w:pPr>
            <w:r w:rsidRPr="00BD4CE2">
              <w:rPr>
                <w:rFonts w:ascii="Arial" w:hAnsi="Arial" w:hint="cs"/>
                <w:b/>
                <w:bCs/>
                <w:noProof w:val="0"/>
                <w:color w:val="000000" w:themeColor="text1"/>
                <w:sz w:val="26"/>
                <w:szCs w:val="26"/>
                <w:u w:val="single"/>
                <w:rtl/>
              </w:rPr>
              <w:t>התובע:</w:t>
            </w:r>
          </w:p>
        </w:tc>
        <w:tc>
          <w:tcPr>
            <w:tcW w:w="5571" w:type="dxa"/>
          </w:tcPr>
          <w:p w:rsidR="002914D6" w:rsidRPr="00BD4CE2" w:rsidRDefault="00B25D04" w:rsidP="00B25D04">
            <w:pPr>
              <w:spacing w:line="360" w:lineRule="auto"/>
              <w:rPr>
                <w:rStyle w:val="ac"/>
                <w:b/>
                <w:bCs/>
                <w:color w:val="000000" w:themeColor="text1"/>
                <w:sz w:val="26"/>
                <w:szCs w:val="26"/>
                <w:rtl/>
              </w:rPr>
            </w:pPr>
            <w:r w:rsidRPr="00BD4CE2">
              <w:rPr>
                <w:rStyle w:val="ac"/>
                <w:rFonts w:hint="cs"/>
                <w:b/>
                <w:bCs/>
                <w:color w:val="auto"/>
                <w:sz w:val="26"/>
                <w:szCs w:val="26"/>
                <w:rtl/>
              </w:rPr>
              <w:t>פלוני</w:t>
            </w:r>
            <w:r w:rsidR="00BD5B6B" w:rsidRPr="00BD4CE2">
              <w:rPr>
                <w:rFonts w:hint="cs"/>
                <w:b/>
                <w:bCs/>
                <w:noProof w:val="0"/>
                <w:color w:val="000000" w:themeColor="text1"/>
                <w:sz w:val="26"/>
                <w:szCs w:val="26"/>
                <w:rtl/>
              </w:rPr>
              <w:t xml:space="preserve">, </w:t>
            </w:r>
            <w:r w:rsidR="00BD5B6B" w:rsidRPr="00BD4CE2">
              <w:rPr>
                <w:rStyle w:val="ac"/>
                <w:b/>
                <w:bCs/>
                <w:color w:val="000000" w:themeColor="text1"/>
                <w:sz w:val="26"/>
                <w:szCs w:val="26"/>
                <w:rtl/>
              </w:rPr>
              <w:t>ת"ז</w:t>
            </w:r>
            <w:r w:rsidR="00BD5B6B" w:rsidRPr="00BD4CE2">
              <w:rPr>
                <w:rFonts w:hint="cs"/>
                <w:b/>
                <w:bCs/>
                <w:noProof w:val="0"/>
                <w:color w:val="000000" w:themeColor="text1"/>
                <w:sz w:val="26"/>
                <w:szCs w:val="26"/>
                <w:rtl/>
              </w:rPr>
              <w:t xml:space="preserve"> </w:t>
            </w:r>
          </w:p>
          <w:p w:rsidR="00F737CF" w:rsidRPr="00BD4CE2" w:rsidRDefault="00F737CF" w:rsidP="00F737CF">
            <w:pPr>
              <w:spacing w:line="360" w:lineRule="auto"/>
              <w:rPr>
                <w:b/>
                <w:bCs/>
                <w:color w:val="000000" w:themeColor="text1"/>
                <w:sz w:val="26"/>
                <w:szCs w:val="26"/>
              </w:rPr>
            </w:pPr>
            <w:r w:rsidRPr="00BD4CE2">
              <w:rPr>
                <w:rFonts w:hint="cs"/>
                <w:b/>
                <w:bCs/>
                <w:color w:val="000000" w:themeColor="text1"/>
                <w:sz w:val="26"/>
                <w:szCs w:val="26"/>
                <w:rtl/>
              </w:rPr>
              <w:t>ע"י ב"כ עו"ד גלעד גלזמן, מטעם הסיוע המשפטי</w:t>
            </w:r>
          </w:p>
        </w:tc>
      </w:tr>
      <w:tr w:rsidR="002914D6">
        <w:trPr>
          <w:jc w:val="center"/>
        </w:trPr>
        <w:tc>
          <w:tcPr>
            <w:tcW w:w="8820" w:type="dxa"/>
            <w:gridSpan w:val="3"/>
          </w:tcPr>
          <w:p w:rsidR="002914D6" w:rsidRPr="00BD4CE2" w:rsidRDefault="002914D6">
            <w:pPr>
              <w:rPr>
                <w:rFonts w:ascii="Arial" w:hAnsi="Arial"/>
                <w:b/>
                <w:bCs/>
                <w:noProof w:val="0"/>
                <w:color w:val="000000" w:themeColor="text1"/>
                <w:sz w:val="26"/>
                <w:szCs w:val="26"/>
                <w:rtl/>
              </w:rPr>
            </w:pPr>
          </w:p>
          <w:p w:rsidR="002914D6" w:rsidRPr="00BD4CE2" w:rsidRDefault="00011212">
            <w:pPr>
              <w:jc w:val="center"/>
              <w:rPr>
                <w:rFonts w:ascii="Arial" w:hAnsi="Arial"/>
                <w:b/>
                <w:bCs/>
                <w:noProof w:val="0"/>
                <w:color w:val="000000" w:themeColor="text1"/>
                <w:sz w:val="26"/>
                <w:szCs w:val="26"/>
                <w:rtl/>
              </w:rPr>
            </w:pPr>
            <w:r w:rsidRPr="00BD4CE2">
              <w:rPr>
                <w:rFonts w:ascii="Arial" w:hAnsi="Arial"/>
                <w:b/>
                <w:bCs/>
                <w:noProof w:val="0"/>
                <w:color w:val="000000" w:themeColor="text1"/>
                <w:sz w:val="26"/>
                <w:szCs w:val="26"/>
                <w:rtl/>
              </w:rPr>
              <w:t>נגד</w:t>
            </w:r>
          </w:p>
          <w:p w:rsidR="002914D6" w:rsidRPr="00BD4CE2" w:rsidRDefault="002914D6">
            <w:pPr>
              <w:rPr>
                <w:rFonts w:ascii="Arial" w:hAnsi="Arial"/>
                <w:b/>
                <w:bCs/>
                <w:noProof w:val="0"/>
                <w:color w:val="000000" w:themeColor="text1"/>
                <w:sz w:val="26"/>
                <w:szCs w:val="26"/>
              </w:rPr>
            </w:pPr>
          </w:p>
        </w:tc>
      </w:tr>
      <w:tr w:rsidR="002914D6">
        <w:trPr>
          <w:jc w:val="center"/>
        </w:trPr>
        <w:tc>
          <w:tcPr>
            <w:tcW w:w="3249" w:type="dxa"/>
            <w:gridSpan w:val="2"/>
          </w:tcPr>
          <w:p w:rsidR="002914D6" w:rsidRPr="00BD4CE2" w:rsidRDefault="00F737CF">
            <w:pPr>
              <w:rPr>
                <w:rFonts w:ascii="Arial" w:hAnsi="Arial"/>
                <w:b/>
                <w:bCs/>
                <w:noProof w:val="0"/>
                <w:color w:val="000000" w:themeColor="text1"/>
                <w:sz w:val="26"/>
                <w:szCs w:val="26"/>
                <w:u w:val="single"/>
              </w:rPr>
            </w:pPr>
            <w:r w:rsidRPr="00BD4CE2">
              <w:rPr>
                <w:rFonts w:ascii="Arial" w:hAnsi="Arial" w:hint="cs"/>
                <w:b/>
                <w:bCs/>
                <w:noProof w:val="0"/>
                <w:color w:val="000000" w:themeColor="text1"/>
                <w:sz w:val="26"/>
                <w:szCs w:val="26"/>
                <w:u w:val="single"/>
                <w:rtl/>
              </w:rPr>
              <w:t>הנתבעת:</w:t>
            </w:r>
          </w:p>
        </w:tc>
        <w:tc>
          <w:tcPr>
            <w:tcW w:w="5571" w:type="dxa"/>
          </w:tcPr>
          <w:p w:rsidR="002914D6" w:rsidRPr="00BD4CE2" w:rsidRDefault="00B25D04" w:rsidP="00B25D04">
            <w:pPr>
              <w:spacing w:line="360" w:lineRule="auto"/>
              <w:rPr>
                <w:rStyle w:val="ac"/>
                <w:b/>
                <w:bCs/>
                <w:color w:val="000000" w:themeColor="text1"/>
                <w:sz w:val="26"/>
                <w:szCs w:val="26"/>
                <w:rtl/>
              </w:rPr>
            </w:pPr>
            <w:r w:rsidRPr="00BD4CE2">
              <w:rPr>
                <w:rStyle w:val="ac"/>
                <w:rFonts w:hint="cs"/>
                <w:b/>
                <w:bCs/>
                <w:color w:val="auto"/>
                <w:sz w:val="26"/>
                <w:szCs w:val="26"/>
                <w:rtl/>
              </w:rPr>
              <w:t>אלמונית</w:t>
            </w:r>
            <w:r w:rsidR="00BD5B6B" w:rsidRPr="00BD4CE2">
              <w:rPr>
                <w:rFonts w:hint="cs"/>
                <w:b/>
                <w:bCs/>
                <w:noProof w:val="0"/>
                <w:color w:val="000000" w:themeColor="text1"/>
                <w:sz w:val="26"/>
                <w:szCs w:val="26"/>
                <w:rtl/>
              </w:rPr>
              <w:t xml:space="preserve">, </w:t>
            </w:r>
            <w:r w:rsidR="00BD5B6B" w:rsidRPr="00BD4CE2">
              <w:rPr>
                <w:rStyle w:val="ac"/>
                <w:b/>
                <w:bCs/>
                <w:color w:val="000000" w:themeColor="text1"/>
                <w:sz w:val="26"/>
                <w:szCs w:val="26"/>
                <w:rtl/>
              </w:rPr>
              <w:t>ת"ז</w:t>
            </w:r>
            <w:r w:rsidR="00BD5B6B" w:rsidRPr="00BD4CE2">
              <w:rPr>
                <w:rFonts w:hint="cs"/>
                <w:b/>
                <w:bCs/>
                <w:noProof w:val="0"/>
                <w:color w:val="000000" w:themeColor="text1"/>
                <w:sz w:val="26"/>
                <w:szCs w:val="26"/>
                <w:rtl/>
              </w:rPr>
              <w:t xml:space="preserve"> </w:t>
            </w:r>
          </w:p>
          <w:p w:rsidR="00F737CF" w:rsidRPr="00BD4CE2" w:rsidRDefault="00F737CF" w:rsidP="00F737CF">
            <w:pPr>
              <w:spacing w:line="360" w:lineRule="auto"/>
              <w:rPr>
                <w:b/>
                <w:bCs/>
                <w:noProof w:val="0"/>
                <w:color w:val="000000" w:themeColor="text1"/>
                <w:sz w:val="26"/>
                <w:szCs w:val="26"/>
                <w:rtl/>
              </w:rPr>
            </w:pPr>
            <w:r w:rsidRPr="00BD4CE2">
              <w:rPr>
                <w:rFonts w:hint="cs"/>
                <w:b/>
                <w:bCs/>
                <w:noProof w:val="0"/>
                <w:color w:val="000000" w:themeColor="text1"/>
                <w:sz w:val="26"/>
                <w:szCs w:val="26"/>
                <w:rtl/>
              </w:rPr>
              <w:t xml:space="preserve">ע"י ב"כ עו"ד תמיר ניסני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BD4CE2" w:rsidP="00BD4CE2">
            <w:pPr>
              <w:tabs>
                <w:tab w:val="left" w:pos="5184"/>
              </w:tabs>
              <w:bidi w:val="0"/>
              <w:rPr>
                <w:rFonts w:ascii="Arial" w:hAnsi="Arial"/>
                <w:b/>
                <w:bCs/>
                <w:noProof w:val="0"/>
                <w:sz w:val="26"/>
                <w:szCs w:val="26"/>
              </w:rPr>
            </w:pPr>
            <w:r>
              <w:rPr>
                <w:rFonts w:ascii="Arial" w:hAnsi="Arial"/>
                <w:b/>
                <w:bCs/>
                <w:noProof w:val="0"/>
                <w:sz w:val="26"/>
                <w:szCs w:val="26"/>
              </w:rPr>
              <w:tab/>
            </w: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BF32D9" w:rsidP="002619BF">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ביום 19.10.2021 הגיש התובע תביעה לביטול מזונות הקטינה. </w:t>
      </w:r>
    </w:p>
    <w:p w:rsidR="00653B83" w:rsidRDefault="00653B83" w:rsidP="00653B83">
      <w:pPr>
        <w:pStyle w:val="ad"/>
        <w:spacing w:line="360" w:lineRule="auto"/>
        <w:ind w:left="567"/>
        <w:jc w:val="both"/>
        <w:rPr>
          <w:rFonts w:ascii="Arial" w:hAnsi="Arial"/>
          <w:noProof w:val="0"/>
          <w:color w:val="000000" w:themeColor="text1"/>
        </w:rPr>
      </w:pPr>
    </w:p>
    <w:p w:rsidR="00BF32D9" w:rsidRDefault="00BF32D9" w:rsidP="00B25D04">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לצדדים בת משותפת ילידת </w:t>
      </w:r>
      <w:r w:rsidR="0066139B">
        <w:rPr>
          <w:rFonts w:ascii="Arial" w:hAnsi="Arial" w:hint="cs"/>
          <w:noProof w:val="0"/>
          <w:color w:val="000000" w:themeColor="text1"/>
          <w:rtl/>
        </w:rPr>
        <w:t xml:space="preserve">2011 כיום בת 10 וחצי. </w:t>
      </w:r>
    </w:p>
    <w:p w:rsidR="00653B83" w:rsidRDefault="00653B83" w:rsidP="00653B83">
      <w:pPr>
        <w:pStyle w:val="ad"/>
        <w:spacing w:line="360" w:lineRule="auto"/>
        <w:ind w:left="567"/>
        <w:jc w:val="both"/>
        <w:rPr>
          <w:rFonts w:ascii="Arial" w:hAnsi="Arial"/>
          <w:noProof w:val="0"/>
          <w:color w:val="000000" w:themeColor="text1"/>
        </w:rPr>
      </w:pPr>
    </w:p>
    <w:p w:rsidR="00BF32D9" w:rsidRDefault="00BF32D9" w:rsidP="0066139B">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ביום </w:t>
      </w:r>
      <w:r w:rsidR="0066139B">
        <w:rPr>
          <w:rFonts w:ascii="Arial" w:hAnsi="Arial" w:hint="cs"/>
          <w:noProof w:val="0"/>
          <w:color w:val="000000" w:themeColor="text1"/>
          <w:rtl/>
        </w:rPr>
        <w:t xml:space="preserve"> 29.7.2021 </w:t>
      </w:r>
      <w:r>
        <w:rPr>
          <w:rFonts w:ascii="Arial" w:hAnsi="Arial" w:hint="cs"/>
          <w:noProof w:val="0"/>
          <w:color w:val="000000" w:themeColor="text1"/>
          <w:rtl/>
        </w:rPr>
        <w:t xml:space="preserve">הוכרזה הקטינה קטינה נזקקת (תנ"ז </w:t>
      </w:r>
      <w:r w:rsidR="00FD5BA9">
        <w:rPr>
          <w:rFonts w:ascii="Arial" w:hAnsi="Arial" w:hint="cs"/>
          <w:noProof w:val="0"/>
          <w:color w:val="000000" w:themeColor="text1"/>
          <w:rtl/>
        </w:rPr>
        <w:t>56349-03-21</w:t>
      </w:r>
      <w:r>
        <w:rPr>
          <w:rFonts w:ascii="Arial" w:hAnsi="Arial" w:hint="cs"/>
          <w:noProof w:val="0"/>
          <w:color w:val="000000" w:themeColor="text1"/>
          <w:rtl/>
        </w:rPr>
        <w:t>) והושמה בפנימייה שם היא שוהה החל מ</w:t>
      </w:r>
      <w:r w:rsidR="0066139B">
        <w:rPr>
          <w:rFonts w:ascii="Arial" w:hAnsi="Arial" w:hint="cs"/>
          <w:noProof w:val="0"/>
          <w:color w:val="000000" w:themeColor="text1"/>
          <w:rtl/>
        </w:rPr>
        <w:t xml:space="preserve">שנת הלימודים הנוכחית 9/2021. </w:t>
      </w:r>
    </w:p>
    <w:p w:rsidR="00653B83" w:rsidRDefault="00653B83" w:rsidP="00653B83">
      <w:pPr>
        <w:pStyle w:val="ad"/>
        <w:spacing w:line="360" w:lineRule="auto"/>
        <w:ind w:left="567"/>
        <w:jc w:val="both"/>
        <w:rPr>
          <w:rFonts w:ascii="Arial" w:hAnsi="Arial"/>
          <w:noProof w:val="0"/>
          <w:color w:val="000000" w:themeColor="text1"/>
        </w:rPr>
      </w:pPr>
    </w:p>
    <w:p w:rsidR="00BF32D9" w:rsidRDefault="00BF32D9" w:rsidP="002619BF">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ביום 24.12.2017 (תלה"מ 12997-04-17) ניתן פסק דין אשר אישר את הסכמת הצדדים כי האב יישא במזונות הקטינה בסך של 1,400 ₪ לחודש. כמו כן, נקבע כי ההורים יישאו במחצית הוצאות רפואיות חריגות ובמחצית הוצאות חינוך של הקטינה. </w:t>
      </w:r>
    </w:p>
    <w:p w:rsidR="00653B83" w:rsidRDefault="00653B83" w:rsidP="00653B83">
      <w:pPr>
        <w:pStyle w:val="ad"/>
        <w:spacing w:line="360" w:lineRule="auto"/>
        <w:ind w:left="567"/>
        <w:jc w:val="both"/>
        <w:rPr>
          <w:rFonts w:ascii="Arial" w:hAnsi="Arial"/>
          <w:noProof w:val="0"/>
          <w:color w:val="000000" w:themeColor="text1"/>
        </w:rPr>
      </w:pPr>
    </w:p>
    <w:p w:rsidR="0066139B" w:rsidRDefault="0066139B" w:rsidP="0066139B">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תביעה זו הוגשה בשל טענת האב כי  לאור הוצאת הקטינה להשמה חוץ ביתית יש לבטל או להפחית את המזונות שנקבעו. </w:t>
      </w:r>
    </w:p>
    <w:p w:rsidR="00653B83" w:rsidRDefault="00653B83" w:rsidP="00653B83">
      <w:pPr>
        <w:pStyle w:val="ad"/>
        <w:spacing w:line="360" w:lineRule="auto"/>
        <w:ind w:left="567"/>
        <w:jc w:val="both"/>
        <w:rPr>
          <w:rFonts w:ascii="Arial" w:hAnsi="Arial"/>
          <w:noProof w:val="0"/>
          <w:color w:val="000000" w:themeColor="text1"/>
        </w:rPr>
      </w:pPr>
    </w:p>
    <w:p w:rsidR="000D230F" w:rsidRDefault="0066139B" w:rsidP="000D230F">
      <w:pPr>
        <w:pStyle w:val="ad"/>
        <w:numPr>
          <w:ilvl w:val="0"/>
          <w:numId w:val="2"/>
        </w:numPr>
        <w:spacing w:line="360" w:lineRule="auto"/>
        <w:ind w:left="567" w:hanging="567"/>
        <w:jc w:val="both"/>
        <w:rPr>
          <w:rFonts w:ascii="Arial" w:hAnsi="Arial"/>
          <w:noProof w:val="0"/>
          <w:color w:val="000000" w:themeColor="text1"/>
        </w:rPr>
      </w:pPr>
      <w:r w:rsidRPr="000D230F">
        <w:rPr>
          <w:rFonts w:ascii="Arial" w:hAnsi="Arial" w:hint="cs"/>
          <w:b/>
          <w:bCs/>
          <w:noProof w:val="0"/>
          <w:color w:val="000000" w:themeColor="text1"/>
          <w:rtl/>
        </w:rPr>
        <w:t>האב</w:t>
      </w:r>
      <w:r>
        <w:rPr>
          <w:rFonts w:ascii="Arial" w:hAnsi="Arial" w:hint="cs"/>
          <w:noProof w:val="0"/>
          <w:color w:val="000000" w:themeColor="text1"/>
          <w:rtl/>
        </w:rPr>
        <w:t xml:space="preserve"> </w:t>
      </w:r>
      <w:r w:rsidRPr="000D230F">
        <w:rPr>
          <w:rFonts w:ascii="Arial" w:hAnsi="Arial" w:hint="cs"/>
          <w:b/>
          <w:bCs/>
          <w:noProof w:val="0"/>
          <w:color w:val="000000" w:themeColor="text1"/>
          <w:rtl/>
        </w:rPr>
        <w:t>טוען</w:t>
      </w:r>
      <w:r>
        <w:rPr>
          <w:rFonts w:ascii="Arial" w:hAnsi="Arial" w:hint="cs"/>
          <w:noProof w:val="0"/>
          <w:color w:val="000000" w:themeColor="text1"/>
          <w:rtl/>
        </w:rPr>
        <w:t xml:space="preserve"> כי יש מקום לבטל את המזונות בשל הוצאת הקטינה להשמה חוץ ביתית. לטענת האב, הוא מבקר את </w:t>
      </w:r>
      <w:r w:rsidR="008953AC">
        <w:rPr>
          <w:rFonts w:ascii="Arial" w:hAnsi="Arial" w:hint="cs"/>
          <w:noProof w:val="0"/>
          <w:color w:val="000000" w:themeColor="text1"/>
          <w:rtl/>
        </w:rPr>
        <w:t>הקטינה בפנימייה והילדה מגיעה אליו כשהיא יוצאת מהפנימייה גם. הוא מציין בתביעה כי הוא איננו עובד</w:t>
      </w:r>
      <w:r w:rsidR="000D230F">
        <w:rPr>
          <w:rFonts w:ascii="Arial" w:hAnsi="Arial" w:hint="cs"/>
          <w:noProof w:val="0"/>
          <w:color w:val="000000" w:themeColor="text1"/>
          <w:rtl/>
        </w:rPr>
        <w:t>,</w:t>
      </w:r>
      <w:r w:rsidR="008953AC">
        <w:rPr>
          <w:rFonts w:ascii="Arial" w:hAnsi="Arial" w:hint="cs"/>
          <w:noProof w:val="0"/>
          <w:color w:val="000000" w:themeColor="text1"/>
          <w:rtl/>
        </w:rPr>
        <w:t xml:space="preserve"> חובותיו הם בסך כ- 700,000 ₪ והוא מקבל קצבת ביטוח לאומי בסך של כ- 4,000 ₪. לטענתו, הנתבעת מתקיימת מקצבת נכות וכן עובדת בעבודות לא מוצהרות. </w:t>
      </w:r>
    </w:p>
    <w:p w:rsidR="000D230F" w:rsidRPr="000D230F" w:rsidRDefault="000D230F" w:rsidP="000D230F">
      <w:pPr>
        <w:pStyle w:val="ad"/>
        <w:rPr>
          <w:rFonts w:ascii="Arial" w:hAnsi="Arial"/>
          <w:noProof w:val="0"/>
          <w:color w:val="000000" w:themeColor="text1"/>
          <w:rtl/>
        </w:rPr>
      </w:pPr>
    </w:p>
    <w:p w:rsidR="00BF32D9" w:rsidRDefault="008953AC" w:rsidP="000D230F">
      <w:pPr>
        <w:pStyle w:val="ad"/>
        <w:numPr>
          <w:ilvl w:val="0"/>
          <w:numId w:val="2"/>
        </w:numPr>
        <w:spacing w:line="360" w:lineRule="auto"/>
        <w:ind w:left="567" w:hanging="567"/>
        <w:jc w:val="both"/>
        <w:rPr>
          <w:rFonts w:ascii="Arial" w:hAnsi="Arial"/>
          <w:noProof w:val="0"/>
          <w:color w:val="000000" w:themeColor="text1"/>
        </w:rPr>
      </w:pPr>
      <w:r w:rsidRPr="000D230F">
        <w:rPr>
          <w:rFonts w:ascii="Arial" w:hAnsi="Arial" w:hint="cs"/>
          <w:b/>
          <w:bCs/>
          <w:noProof w:val="0"/>
          <w:color w:val="000000" w:themeColor="text1"/>
          <w:rtl/>
        </w:rPr>
        <w:lastRenderedPageBreak/>
        <w:t>לטענת האב</w:t>
      </w:r>
      <w:r>
        <w:rPr>
          <w:rFonts w:ascii="Arial" w:hAnsi="Arial" w:hint="cs"/>
          <w:noProof w:val="0"/>
          <w:color w:val="000000" w:themeColor="text1"/>
          <w:rtl/>
        </w:rPr>
        <w:t>, צרכי הקטינה אצל</w:t>
      </w:r>
      <w:r w:rsidR="000D230F">
        <w:rPr>
          <w:rFonts w:ascii="Arial" w:hAnsi="Arial" w:hint="cs"/>
          <w:noProof w:val="0"/>
          <w:color w:val="000000" w:themeColor="text1"/>
          <w:rtl/>
        </w:rPr>
        <w:t xml:space="preserve"> </w:t>
      </w:r>
      <w:r>
        <w:rPr>
          <w:rFonts w:ascii="Arial" w:hAnsi="Arial" w:hint="cs"/>
          <w:noProof w:val="0"/>
          <w:color w:val="000000" w:themeColor="text1"/>
          <w:rtl/>
        </w:rPr>
        <w:t>האם מוערכים על ידו בסך של בין 200 ל- 300 ₪ לחודש</w:t>
      </w:r>
      <w:r w:rsidR="000D230F">
        <w:rPr>
          <w:rFonts w:ascii="Arial" w:hAnsi="Arial" w:hint="cs"/>
          <w:noProof w:val="0"/>
          <w:color w:val="000000" w:themeColor="text1"/>
          <w:rtl/>
        </w:rPr>
        <w:t xml:space="preserve"> בלבד</w:t>
      </w:r>
      <w:r>
        <w:rPr>
          <w:rFonts w:ascii="Arial" w:hAnsi="Arial" w:hint="cs"/>
          <w:noProof w:val="0"/>
          <w:color w:val="000000" w:themeColor="text1"/>
          <w:rtl/>
        </w:rPr>
        <w:t>. לטענת האב, יש לו הוצאות בגין נסיעותיו לקטינה לפנימייה כ- 800 ₪ בחודש ובנוסף עוד הוצאות עבור צרכי הקטינה בסך של כ- 1,000 ₪ לחודש. על כן, יש להורות על ביטול המזונות. בשולי התביעה טען כי יש להורות גם על ביטול המזונות בשל שינוי ההלכה שנקבעה בבע"מ 919/15.</w:t>
      </w:r>
    </w:p>
    <w:p w:rsidR="00653B83" w:rsidRDefault="00653B83" w:rsidP="00653B83">
      <w:pPr>
        <w:pStyle w:val="ad"/>
        <w:spacing w:line="360" w:lineRule="auto"/>
        <w:ind w:left="567"/>
        <w:jc w:val="both"/>
        <w:rPr>
          <w:rFonts w:ascii="Arial" w:hAnsi="Arial"/>
          <w:noProof w:val="0"/>
          <w:color w:val="000000" w:themeColor="text1"/>
        </w:rPr>
      </w:pPr>
    </w:p>
    <w:p w:rsidR="008953AC" w:rsidRDefault="008953AC" w:rsidP="00757E71">
      <w:pPr>
        <w:pStyle w:val="ad"/>
        <w:numPr>
          <w:ilvl w:val="0"/>
          <w:numId w:val="2"/>
        </w:numPr>
        <w:spacing w:line="360" w:lineRule="auto"/>
        <w:ind w:left="567" w:hanging="567"/>
        <w:jc w:val="both"/>
        <w:rPr>
          <w:rFonts w:ascii="Arial" w:hAnsi="Arial"/>
          <w:noProof w:val="0"/>
          <w:color w:val="000000" w:themeColor="text1"/>
        </w:rPr>
      </w:pPr>
      <w:r w:rsidRPr="000D230F">
        <w:rPr>
          <w:rFonts w:ascii="Arial" w:hAnsi="Arial" w:hint="cs"/>
          <w:b/>
          <w:bCs/>
          <w:noProof w:val="0"/>
          <w:color w:val="000000" w:themeColor="text1"/>
          <w:rtl/>
        </w:rPr>
        <w:t>האם טוענת</w:t>
      </w:r>
      <w:r>
        <w:rPr>
          <w:rFonts w:ascii="Arial" w:hAnsi="Arial" w:hint="cs"/>
          <w:noProof w:val="0"/>
          <w:color w:val="000000" w:themeColor="text1"/>
          <w:rtl/>
        </w:rPr>
        <w:t xml:space="preserve"> כי במשך קרוב ל- 8 שנים התובע מגיש לבית המשפט תביעות באופן סידרתי כנגדה. הנתבעת עותרת לדחיית התביעה. לטענת הנתבעת חלק מהנסיבות הקשורות להוצאת הקטינה להשמה חוץ ביתית קשור ישירות להתנהלותו של הנתבע ואין מקום בשל כך להורות על ביטול לחלוטין של המזונות. הנתבעת מפנה לכך שהתובע אינו מקיים החלטות שיפוטיות וכך גם ניצל לרעה את הליך פשיטת הרגל שהיה בעניינו. היא מציינת עוד כי התובע הפסיק על דעת עצמו לשלם את המזונות כלל. </w:t>
      </w:r>
      <w:r w:rsidR="002E357B">
        <w:rPr>
          <w:rFonts w:ascii="Arial" w:hAnsi="Arial" w:hint="cs"/>
          <w:noProof w:val="0"/>
          <w:color w:val="000000" w:themeColor="text1"/>
          <w:rtl/>
        </w:rPr>
        <w:t>הנתבעת מציינת כי הקטינה מגיעה לביתה כל סוף שבוע והיא זו שמשלמת הוצאות הנוגעות ללימודיה, בריאותה, נסיעות בתחבורה ציבורית, שיעורים פרטיים, טיולים והוצאות כלליות. כמו כן, היא זו שדואגת לכל צרכי הקטינה בעת שהותה בפנימייה לרבות ביגו</w:t>
      </w:r>
      <w:r w:rsidR="00757E71">
        <w:rPr>
          <w:rFonts w:ascii="Arial" w:hAnsi="Arial" w:hint="cs"/>
          <w:noProof w:val="0"/>
          <w:color w:val="000000" w:themeColor="text1"/>
          <w:rtl/>
        </w:rPr>
        <w:t xml:space="preserve">ד </w:t>
      </w:r>
      <w:r w:rsidR="002E357B">
        <w:rPr>
          <w:rFonts w:ascii="Arial" w:hAnsi="Arial" w:hint="cs"/>
          <w:noProof w:val="0"/>
          <w:color w:val="000000" w:themeColor="text1"/>
          <w:rtl/>
        </w:rPr>
        <w:t xml:space="preserve">והנעלה, תכשירי רחצה ופארם, מזון, חטיפים ואביזרים הנחוצים לשהותה בפנימייה. הנתבעת מציינת כי התובע לא נושא בהוצאות הנוגעות לטובתה של הקטינה כלל. לטענתה, התובע עובד באולם אירועים ומקבל שכר של כ- 10,000 ₪ לחודש. </w:t>
      </w:r>
    </w:p>
    <w:p w:rsidR="00653B83" w:rsidRDefault="00653B83" w:rsidP="00653B83">
      <w:pPr>
        <w:pStyle w:val="ad"/>
        <w:spacing w:line="360" w:lineRule="auto"/>
        <w:ind w:left="567"/>
        <w:jc w:val="both"/>
        <w:rPr>
          <w:rFonts w:ascii="Arial" w:hAnsi="Arial"/>
          <w:noProof w:val="0"/>
          <w:color w:val="000000" w:themeColor="text1"/>
        </w:rPr>
      </w:pPr>
    </w:p>
    <w:p w:rsidR="00BB0822" w:rsidRDefault="000D230F" w:rsidP="00BB0822">
      <w:pPr>
        <w:pStyle w:val="ad"/>
        <w:numPr>
          <w:ilvl w:val="0"/>
          <w:numId w:val="2"/>
        </w:numPr>
        <w:spacing w:line="360" w:lineRule="auto"/>
        <w:ind w:left="567" w:hanging="567"/>
        <w:jc w:val="both"/>
        <w:rPr>
          <w:rFonts w:ascii="Arial" w:hAnsi="Arial"/>
          <w:noProof w:val="0"/>
          <w:color w:val="000000" w:themeColor="text1"/>
        </w:rPr>
      </w:pPr>
      <w:r w:rsidRPr="000D230F">
        <w:rPr>
          <w:rFonts w:ascii="Arial" w:hAnsi="Arial" w:hint="cs"/>
          <w:b/>
          <w:bCs/>
          <w:noProof w:val="0"/>
          <w:color w:val="000000" w:themeColor="text1"/>
          <w:rtl/>
        </w:rPr>
        <w:t>לטענת האם</w:t>
      </w:r>
      <w:r>
        <w:rPr>
          <w:rFonts w:ascii="Arial" w:hAnsi="Arial" w:hint="cs"/>
          <w:noProof w:val="0"/>
          <w:color w:val="000000" w:themeColor="text1"/>
          <w:rtl/>
        </w:rPr>
        <w:t>,</w:t>
      </w:r>
      <w:r w:rsidR="00BB0822">
        <w:rPr>
          <w:rFonts w:ascii="Arial" w:hAnsi="Arial" w:hint="cs"/>
          <w:noProof w:val="0"/>
          <w:color w:val="000000" w:themeColor="text1"/>
          <w:rtl/>
        </w:rPr>
        <w:t xml:space="preserve"> השמת הקטינה בפנימייה לא הפחיתה את צרכיה ואף העלתה חלק מהצרכים בשל ריחוקה מהבית והתבגרותה של הקטינה. כמו כן, מציינת הנתבעת את מצבה הרפואי האישי שלה ואת מצבה הכלכלי הקשה וטוענת כי גם בשל כך אין מקום להורות על קבלת התביעה. </w:t>
      </w:r>
    </w:p>
    <w:p w:rsidR="000D230F" w:rsidRPr="000D230F" w:rsidRDefault="000D230F" w:rsidP="000D230F">
      <w:pPr>
        <w:pStyle w:val="ad"/>
        <w:rPr>
          <w:rFonts w:ascii="Arial" w:hAnsi="Arial"/>
          <w:noProof w:val="0"/>
          <w:color w:val="000000" w:themeColor="text1"/>
          <w:rtl/>
        </w:rPr>
      </w:pPr>
    </w:p>
    <w:p w:rsidR="00BB0822" w:rsidRDefault="00BB0822" w:rsidP="00BB0822">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ביום 9.1.2022 התקיים דיון קדם </w:t>
      </w:r>
      <w:r w:rsidR="003F0689">
        <w:rPr>
          <w:rFonts w:ascii="Arial" w:hAnsi="Arial" w:hint="cs"/>
          <w:noProof w:val="0"/>
          <w:color w:val="000000" w:themeColor="text1"/>
          <w:rtl/>
        </w:rPr>
        <w:t xml:space="preserve">לאחריו הגיעו הצדדים להסכמות כי יוגשו סיכומים ועל פיהם יינתן פסק הדין. </w:t>
      </w:r>
    </w:p>
    <w:p w:rsidR="00653B83" w:rsidRDefault="00653B83" w:rsidP="00653B83">
      <w:pPr>
        <w:pStyle w:val="ad"/>
        <w:spacing w:line="360" w:lineRule="auto"/>
        <w:ind w:left="567"/>
        <w:jc w:val="both"/>
        <w:rPr>
          <w:rFonts w:ascii="Arial" w:hAnsi="Arial"/>
          <w:noProof w:val="0"/>
          <w:color w:val="000000" w:themeColor="text1"/>
        </w:rPr>
      </w:pPr>
    </w:p>
    <w:p w:rsidR="003F0689" w:rsidRDefault="003F0689" w:rsidP="00BB0822">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לאחר שהצדדים הגישו סיכומים בכתב, ניתן כעת פסק הדין. </w:t>
      </w:r>
    </w:p>
    <w:p w:rsidR="00653B83" w:rsidRDefault="00653B83" w:rsidP="00653B83">
      <w:pPr>
        <w:pStyle w:val="ad"/>
        <w:spacing w:line="360" w:lineRule="auto"/>
        <w:ind w:left="567"/>
        <w:jc w:val="both"/>
        <w:rPr>
          <w:rFonts w:ascii="Arial" w:hAnsi="Arial"/>
          <w:noProof w:val="0"/>
          <w:color w:val="000000" w:themeColor="text1"/>
        </w:rPr>
      </w:pPr>
    </w:p>
    <w:p w:rsidR="003F0689" w:rsidRPr="000D230F" w:rsidRDefault="007109C7" w:rsidP="00BB0822">
      <w:pPr>
        <w:pStyle w:val="ad"/>
        <w:numPr>
          <w:ilvl w:val="0"/>
          <w:numId w:val="2"/>
        </w:numPr>
        <w:spacing w:line="360" w:lineRule="auto"/>
        <w:ind w:left="567" w:hanging="567"/>
        <w:jc w:val="both"/>
        <w:rPr>
          <w:rFonts w:ascii="Arial" w:hAnsi="Arial"/>
          <w:b/>
          <w:bCs/>
          <w:noProof w:val="0"/>
          <w:color w:val="000000" w:themeColor="text1"/>
        </w:rPr>
      </w:pPr>
      <w:r w:rsidRPr="000D230F">
        <w:rPr>
          <w:rFonts w:ascii="Arial" w:hAnsi="Arial" w:hint="cs"/>
          <w:b/>
          <w:bCs/>
          <w:noProof w:val="0"/>
          <w:color w:val="000000" w:themeColor="text1"/>
          <w:rtl/>
        </w:rPr>
        <w:t>לאחר בחינת טענות הצדדים וראיותיהם דין התביעה להידחות</w:t>
      </w:r>
      <w:r w:rsidR="000D230F">
        <w:rPr>
          <w:rFonts w:ascii="Arial" w:hAnsi="Arial" w:hint="cs"/>
          <w:b/>
          <w:bCs/>
          <w:noProof w:val="0"/>
          <w:color w:val="000000" w:themeColor="text1"/>
          <w:rtl/>
        </w:rPr>
        <w:t>, מהנימוקים שיפורטו להלן</w:t>
      </w:r>
      <w:r w:rsidRPr="000D230F">
        <w:rPr>
          <w:rFonts w:ascii="Arial" w:hAnsi="Arial" w:hint="cs"/>
          <w:b/>
          <w:bCs/>
          <w:noProof w:val="0"/>
          <w:color w:val="000000" w:themeColor="text1"/>
          <w:rtl/>
        </w:rPr>
        <w:t xml:space="preserve">. </w:t>
      </w:r>
    </w:p>
    <w:p w:rsidR="00653B83" w:rsidRDefault="00653B83" w:rsidP="00653B83">
      <w:pPr>
        <w:pStyle w:val="ad"/>
        <w:spacing w:line="360" w:lineRule="auto"/>
        <w:ind w:left="567"/>
        <w:jc w:val="both"/>
        <w:rPr>
          <w:rFonts w:ascii="Arial" w:hAnsi="Arial"/>
          <w:noProof w:val="0"/>
          <w:color w:val="000000" w:themeColor="text1"/>
        </w:rPr>
      </w:pPr>
    </w:p>
    <w:p w:rsidR="007109C7" w:rsidRDefault="007109C7" w:rsidP="00BB0822">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מדובר בתביעה לביטול ו/או להפחתה משמעותית במזונות שנקבעו בהסכם וקיבלו תוקף של פסק דין. הנטל להוכחת הטענות הינו אך ורק על כתפי התובע. </w:t>
      </w:r>
    </w:p>
    <w:p w:rsidR="00653B83" w:rsidRDefault="00653B83" w:rsidP="00653B83">
      <w:pPr>
        <w:pStyle w:val="ad"/>
        <w:spacing w:line="360" w:lineRule="auto"/>
        <w:ind w:left="567"/>
        <w:jc w:val="both"/>
        <w:rPr>
          <w:rFonts w:ascii="Arial" w:hAnsi="Arial"/>
          <w:noProof w:val="0"/>
          <w:color w:val="000000" w:themeColor="text1"/>
        </w:rPr>
      </w:pPr>
    </w:p>
    <w:p w:rsidR="007109C7" w:rsidRDefault="007109C7" w:rsidP="000D230F">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lastRenderedPageBreak/>
        <w:t xml:space="preserve">העובדה שהקטינה יצאה בנסיבות קשות שעיקרן קשור לסכסוך המתמשך בין ההורים, אינה מהווה אישור אוטומטי לביטול המזונות. </w:t>
      </w:r>
    </w:p>
    <w:p w:rsidR="00653B83" w:rsidRPr="00653B83" w:rsidRDefault="00653B83" w:rsidP="000D230F">
      <w:pPr>
        <w:jc w:val="both"/>
        <w:rPr>
          <w:rFonts w:ascii="Arial" w:hAnsi="Arial"/>
          <w:noProof w:val="0"/>
          <w:color w:val="000000" w:themeColor="text1"/>
        </w:rPr>
      </w:pPr>
    </w:p>
    <w:p w:rsidR="00402B79" w:rsidRDefault="00402B79" w:rsidP="00402B79">
      <w:pPr>
        <w:pStyle w:val="ad"/>
        <w:numPr>
          <w:ilvl w:val="0"/>
          <w:numId w:val="2"/>
        </w:numPr>
        <w:spacing w:line="360" w:lineRule="auto"/>
        <w:ind w:left="567" w:hanging="567"/>
        <w:jc w:val="both"/>
        <w:rPr>
          <w:rFonts w:ascii="David" w:hAnsi="David"/>
          <w:noProof w:val="0"/>
        </w:rPr>
      </w:pPr>
      <w:r>
        <w:rPr>
          <w:rFonts w:ascii="David" w:hAnsi="David"/>
          <w:rtl/>
        </w:rPr>
        <w:t>נטל ההוכחה בתביעה הינו על התובע אשר עליו להוכיח את התקיימות כל הרכיבים הנטענים על ידו:</w:t>
      </w:r>
    </w:p>
    <w:p w:rsidR="00402B79" w:rsidRDefault="00402B79" w:rsidP="00402B79">
      <w:pPr>
        <w:rPr>
          <w:rtl/>
        </w:rPr>
      </w:pPr>
    </w:p>
    <w:p w:rsidR="0086388A" w:rsidRDefault="0086388A" w:rsidP="0086388A">
      <w:pPr>
        <w:spacing w:line="360" w:lineRule="auto"/>
        <w:ind w:left="1218" w:right="1134"/>
        <w:jc w:val="both"/>
        <w:rPr>
          <w:rFonts w:ascii="David" w:hAnsi="David"/>
        </w:rPr>
      </w:pPr>
      <w:r>
        <w:rPr>
          <w:rFonts w:ascii="David" w:hAnsi="David"/>
          <w:rtl/>
        </w:rPr>
        <w:t>"על המבקש להפחית מזונות, לפעול בתום לב ולגלות את מלוא האינפורמציה והמסמכים הנוגעים לטענותיו שאירע שינוי נסיבות מהותי המצדיק את הפחתת המזונות.</w:t>
      </w:r>
    </w:p>
    <w:p w:rsidR="0086388A" w:rsidRDefault="0086388A" w:rsidP="0086388A">
      <w:pPr>
        <w:spacing w:line="360" w:lineRule="auto"/>
        <w:ind w:left="1218" w:right="1134"/>
        <w:jc w:val="both"/>
        <w:rPr>
          <w:rFonts w:ascii="David" w:hAnsi="David"/>
        </w:rPr>
      </w:pPr>
      <w:r>
        <w:rPr>
          <w:rFonts w:ascii="David" w:hAnsi="David"/>
          <w:rtl/>
        </w:rPr>
        <w:t xml:space="preserve">בפסק דין שניתן על ידנו לאחרונה בעמ"ש (ת"א) 33956-02-20 </w:t>
      </w:r>
      <w:r>
        <w:rPr>
          <w:rFonts w:ascii="David" w:hAnsi="David"/>
          <w:b/>
          <w:bCs/>
          <w:rtl/>
        </w:rPr>
        <w:t>פלוני נ' פלונית</w:t>
      </w:r>
      <w:r>
        <w:rPr>
          <w:rFonts w:ascii="David" w:hAnsi="David"/>
          <w:rtl/>
        </w:rPr>
        <w:t xml:space="preserve"> (8.10.2020)‏ ציינתי כי‏: </w:t>
      </w:r>
    </w:p>
    <w:p w:rsidR="0086388A" w:rsidRDefault="0086388A" w:rsidP="0086388A">
      <w:pPr>
        <w:spacing w:line="360" w:lineRule="auto"/>
        <w:ind w:left="1218" w:right="1134"/>
        <w:jc w:val="both"/>
        <w:rPr>
          <w:rFonts w:ascii="David" w:hAnsi="David"/>
          <w:b/>
          <w:bCs/>
        </w:rPr>
      </w:pPr>
      <w:r>
        <w:rPr>
          <w:rFonts w:ascii="David" w:hAnsi="David"/>
          <w:rtl/>
        </w:rPr>
        <w:t>"</w:t>
      </w:r>
      <w:r>
        <w:rPr>
          <w:rFonts w:ascii="David" w:hAnsi="David"/>
          <w:b/>
          <w:bCs/>
          <w:rtl/>
        </w:rPr>
        <w:t xml:space="preserve">על מי שמבקש להפחית מזונות, חלה חובה מוגברת לפעול בתום לב ולהציג את מלוא רכושו והכנסותיו. כפי שנקבע בעמ"ש 53288-03-18 פלוני נ' פלונית (13.11.18):   "התנאי של שינוי נסיבות מהותי הוא תנאי הכרחי בכדי לקבל תובענה לשינוי סכום מזונות פסוק, אך לא תנאי מספיק. בנוסף יש צורך בבחינת תום לב של מגיש התובענה (האיש או האישה) בהגשת התובענה. [...] כאמור יש לבחון במצב דברים זה את התנהלות מגיש התובענה לשינוי סכום המזונות הפסוק, ב"משקפי" תום הלב ומכלול יחסי בני הזוג".                </w:t>
      </w:r>
    </w:p>
    <w:p w:rsidR="0086388A" w:rsidRDefault="0086388A" w:rsidP="0086388A">
      <w:pPr>
        <w:spacing w:line="360" w:lineRule="auto"/>
        <w:ind w:left="1218" w:right="1134"/>
        <w:jc w:val="both"/>
        <w:rPr>
          <w:rFonts w:ascii="David" w:hAnsi="David"/>
          <w:rtl/>
        </w:rPr>
      </w:pPr>
      <w:r>
        <w:rPr>
          <w:rFonts w:ascii="David" w:hAnsi="David"/>
          <w:b/>
          <w:bCs/>
          <w:rtl/>
        </w:rPr>
        <w:t>כפי שציין חברי כב' אב"ד השופט שוחט בתמ"ש (ת"א) 107782/00 ח.א נ' מ.ח  (17.5.06): "מי שתובע הפחתת מזונות צריך לבוא בידיים נקיות ולפרוש בפני בית המשפט את כל הכנסותיו בגילוי לב".</w:t>
      </w:r>
      <w:r>
        <w:rPr>
          <w:rFonts w:ascii="David" w:hAnsi="David"/>
          <w:rtl/>
        </w:rPr>
        <w:t>...</w:t>
      </w:r>
      <w:r>
        <w:rPr>
          <w:rFonts w:ascii="David" w:hAnsi="David"/>
          <w:b/>
          <w:bCs/>
          <w:rtl/>
        </w:rPr>
        <w:t>בבע"מ 3148/07 פלוני נ' פלוני (13.6.07) התייחס כב' השופט רובינשטיין לשיקול הדעת המסור לבית המשפט בבואו לדון מחדש בשאלת המזונות ובפסקה ו' נקבע כי: "במסגרת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 כבר נפסק כי לחיוב המזונות היבט חוזי..., הכפוף לדרישת תום הלב הקבועה בסעיף 39 לחוק החוזים (חלק כללי), תשל"ג-1973.. "</w:t>
      </w:r>
      <w:r>
        <w:rPr>
          <w:rFonts w:ascii="David" w:hAnsi="David"/>
          <w:rtl/>
        </w:rPr>
        <w:t>."</w:t>
      </w:r>
    </w:p>
    <w:p w:rsidR="0086388A" w:rsidRDefault="0086388A" w:rsidP="0086388A">
      <w:pPr>
        <w:spacing w:line="360" w:lineRule="auto"/>
        <w:ind w:left="1218" w:right="1134"/>
        <w:jc w:val="both"/>
        <w:rPr>
          <w:rFonts w:ascii="David" w:hAnsi="David"/>
          <w:rtl/>
        </w:rPr>
      </w:pPr>
      <w:r>
        <w:rPr>
          <w:rFonts w:ascii="David" w:hAnsi="David"/>
          <w:rtl/>
        </w:rPr>
        <w:t xml:space="preserve">ראו גם: עמ"ש (חי') 45821-03-20 </w:t>
      </w:r>
      <w:r>
        <w:rPr>
          <w:rFonts w:ascii="David" w:hAnsi="David"/>
          <w:b/>
          <w:bCs/>
          <w:rtl/>
        </w:rPr>
        <w:t xml:space="preserve">פלונית נ' פלוני </w:t>
      </w:r>
      <w:r>
        <w:rPr>
          <w:rFonts w:ascii="David" w:hAnsi="David"/>
          <w:rtl/>
        </w:rPr>
        <w:t>(12.11.20) פסקאות 12 ו-18. "</w:t>
      </w:r>
    </w:p>
    <w:p w:rsidR="0086388A" w:rsidRDefault="0086388A" w:rsidP="0086388A">
      <w:pPr>
        <w:spacing w:line="360" w:lineRule="auto"/>
        <w:ind w:left="720"/>
        <w:jc w:val="both"/>
        <w:rPr>
          <w:rFonts w:ascii="David" w:hAnsi="David"/>
          <w:rtl/>
        </w:rPr>
      </w:pPr>
      <w:r>
        <w:rPr>
          <w:rFonts w:ascii="David" w:hAnsi="David"/>
          <w:rtl/>
        </w:rPr>
        <w:t xml:space="preserve">ראו: עמ"ש 17590-01-20 </w:t>
      </w:r>
      <w:r>
        <w:rPr>
          <w:rFonts w:ascii="Miriam" w:hAnsi="Miriam" w:cs="Miriam"/>
          <w:rtl/>
        </w:rPr>
        <w:t>ר' נ' ר'</w:t>
      </w:r>
      <w:r>
        <w:rPr>
          <w:rFonts w:ascii="David" w:hAnsi="David"/>
          <w:rtl/>
        </w:rPr>
        <w:t xml:space="preserve"> (3.12.2020) סעיף 3 לפסק דינו של כב' השופט שילה. </w:t>
      </w:r>
    </w:p>
    <w:p w:rsidR="0086388A" w:rsidRDefault="0086388A" w:rsidP="0086388A">
      <w:pPr>
        <w:rPr>
          <w:rFonts w:ascii="Calibri" w:hAnsi="Calibri" w:cs="Calibri"/>
        </w:rPr>
      </w:pPr>
    </w:p>
    <w:p w:rsidR="0086388A" w:rsidRDefault="0086388A" w:rsidP="0086388A">
      <w:pPr>
        <w:rPr>
          <w:rtl/>
        </w:rPr>
      </w:pPr>
    </w:p>
    <w:p w:rsidR="0086388A" w:rsidRDefault="0086388A" w:rsidP="0086388A">
      <w:pPr>
        <w:pStyle w:val="ad"/>
        <w:spacing w:line="360" w:lineRule="auto"/>
        <w:ind w:left="567"/>
        <w:jc w:val="both"/>
        <w:rPr>
          <w:rFonts w:ascii="Arial" w:hAnsi="Arial"/>
          <w:noProof w:val="0"/>
          <w:color w:val="000000" w:themeColor="text1"/>
          <w:highlight w:val="yellow"/>
          <w:rtl/>
        </w:rPr>
      </w:pPr>
    </w:p>
    <w:p w:rsidR="00653B83" w:rsidRDefault="00653B83" w:rsidP="00653B83">
      <w:pPr>
        <w:pStyle w:val="ad"/>
        <w:spacing w:line="360" w:lineRule="auto"/>
        <w:ind w:left="567"/>
        <w:jc w:val="both"/>
        <w:rPr>
          <w:rFonts w:ascii="Arial" w:hAnsi="Arial"/>
          <w:noProof w:val="0"/>
          <w:color w:val="000000" w:themeColor="text1"/>
          <w:highlight w:val="yellow"/>
        </w:rPr>
      </w:pPr>
    </w:p>
    <w:p w:rsidR="00AD2DDD" w:rsidRDefault="00AD2DDD" w:rsidP="00AD2DDD">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על האב היה להוכיח כי יש להפחית את צרכי הקטינה וכתוצאה מכך את המזונות בשל יציאתה להשמה חוץ ביתית. </w:t>
      </w:r>
    </w:p>
    <w:p w:rsidR="00AD2DDD" w:rsidRDefault="00AD2DDD" w:rsidP="00AD2DDD">
      <w:pPr>
        <w:pStyle w:val="ad"/>
        <w:spacing w:line="360" w:lineRule="auto"/>
        <w:ind w:left="567"/>
        <w:jc w:val="both"/>
        <w:rPr>
          <w:rFonts w:ascii="Arial" w:hAnsi="Arial"/>
          <w:noProof w:val="0"/>
          <w:color w:val="000000" w:themeColor="text1"/>
        </w:rPr>
      </w:pPr>
    </w:p>
    <w:p w:rsidR="007109C7" w:rsidRDefault="00382D51" w:rsidP="00AD2DDD">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האב לא צירף לכתב התביעה </w:t>
      </w:r>
      <w:r w:rsidR="00AD2DDD">
        <w:rPr>
          <w:rFonts w:ascii="Arial" w:hAnsi="Arial" w:hint="cs"/>
          <w:noProof w:val="0"/>
          <w:color w:val="000000" w:themeColor="text1"/>
          <w:rtl/>
        </w:rPr>
        <w:t>ולו ראיה אחת</w:t>
      </w:r>
      <w:r>
        <w:rPr>
          <w:rFonts w:ascii="Arial" w:hAnsi="Arial" w:hint="cs"/>
          <w:noProof w:val="0"/>
          <w:color w:val="000000" w:themeColor="text1"/>
          <w:rtl/>
        </w:rPr>
        <w:t xml:space="preserve"> על כך שהוא נושא ישירות בהוצאות שנגרמות לו עבור הקטינה. האם בניגוד לו פרטה טענות רבות יותר על צרכי הקטינה המסופקים על ידה וכן צירפה אסמכתאות לתמיכה בטענותיה. </w:t>
      </w:r>
      <w:r w:rsidR="00AD2DDD">
        <w:rPr>
          <w:rFonts w:ascii="Arial" w:hAnsi="Arial" w:hint="cs"/>
          <w:noProof w:val="0"/>
          <w:color w:val="000000" w:themeColor="text1"/>
          <w:rtl/>
        </w:rPr>
        <w:t>מבין שני ההורים האם היא זו שהפגינה הן בכתבי הטענות והן בדיון הקד"מ שליטה בהוצאות הקטינה.</w:t>
      </w:r>
    </w:p>
    <w:p w:rsidR="00653B83" w:rsidRDefault="00653B83" w:rsidP="00653B83">
      <w:pPr>
        <w:pStyle w:val="ad"/>
        <w:spacing w:line="360" w:lineRule="auto"/>
        <w:ind w:left="567"/>
        <w:jc w:val="both"/>
        <w:rPr>
          <w:rFonts w:ascii="Arial" w:hAnsi="Arial"/>
          <w:noProof w:val="0"/>
          <w:color w:val="000000" w:themeColor="text1"/>
        </w:rPr>
      </w:pPr>
    </w:p>
    <w:p w:rsidR="007C08E3" w:rsidRPr="00402B79" w:rsidRDefault="007C08E3" w:rsidP="00AD2DDD">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הפסיקה קבעה כי מזונות ילדים השוהים בפנימייה הם מחצית משיעור המז</w:t>
      </w:r>
      <w:r w:rsidR="00AD2DDD">
        <w:rPr>
          <w:rFonts w:ascii="Arial" w:hAnsi="Arial" w:hint="cs"/>
          <w:noProof w:val="0"/>
          <w:color w:val="000000" w:themeColor="text1"/>
          <w:rtl/>
        </w:rPr>
        <w:t>ונות של ילד השוהה דרך קבע בביתו</w:t>
      </w:r>
      <w:r>
        <w:rPr>
          <w:rFonts w:ascii="Arial" w:hAnsi="Arial" w:hint="cs"/>
          <w:noProof w:val="0"/>
          <w:color w:val="000000" w:themeColor="text1"/>
          <w:rtl/>
        </w:rPr>
        <w:t xml:space="preserve"> (ראו: בר"ע (ת"א) 70/96 </w:t>
      </w:r>
      <w:r w:rsidRPr="00AD2DDD">
        <w:rPr>
          <w:rFonts w:ascii="Miriam" w:hAnsi="Miriam" w:cs="Miriam"/>
          <w:noProof w:val="0"/>
          <w:color w:val="000000" w:themeColor="text1"/>
          <w:rtl/>
        </w:rPr>
        <w:t>ברזילי נ' ברזילי</w:t>
      </w:r>
      <w:r w:rsidR="00AD2DDD">
        <w:rPr>
          <w:rFonts w:ascii="Arial" w:hAnsi="Arial" w:hint="cs"/>
          <w:noProof w:val="0"/>
          <w:color w:val="000000" w:themeColor="text1"/>
          <w:rtl/>
        </w:rPr>
        <w:t xml:space="preserve"> והאסמכתאות המופיעות  אצל המלומדים</w:t>
      </w:r>
      <w:r>
        <w:rPr>
          <w:rFonts w:ascii="Arial" w:hAnsi="Arial" w:hint="cs"/>
          <w:noProof w:val="0"/>
          <w:color w:val="000000" w:themeColor="text1"/>
          <w:rtl/>
        </w:rPr>
        <w:t xml:space="preserve">: גריידי, שלם </w:t>
      </w:r>
      <w:r w:rsidRPr="00AD2DDD">
        <w:rPr>
          <w:rFonts w:ascii="Miriam" w:hAnsi="Miriam" w:cs="Miriam"/>
          <w:noProof w:val="0"/>
          <w:color w:val="000000" w:themeColor="text1"/>
          <w:rtl/>
        </w:rPr>
        <w:t>מזונות ילדים הלכה ומעשה</w:t>
      </w:r>
      <w:r>
        <w:rPr>
          <w:rFonts w:ascii="Arial" w:hAnsi="Arial" w:hint="cs"/>
          <w:noProof w:val="0"/>
          <w:color w:val="000000" w:themeColor="text1"/>
          <w:rtl/>
        </w:rPr>
        <w:t xml:space="preserve"> (אפריל 2019</w:t>
      </w:r>
      <w:r w:rsidR="00AD2DDD">
        <w:rPr>
          <w:rFonts w:ascii="Arial" w:hAnsi="Arial" w:hint="cs"/>
          <w:noProof w:val="0"/>
          <w:color w:val="000000" w:themeColor="text1"/>
          <w:rtl/>
        </w:rPr>
        <w:t>)</w:t>
      </w:r>
      <w:r>
        <w:rPr>
          <w:rFonts w:ascii="Arial" w:hAnsi="Arial" w:hint="cs"/>
          <w:noProof w:val="0"/>
          <w:color w:val="000000" w:themeColor="text1"/>
          <w:rtl/>
        </w:rPr>
        <w:t xml:space="preserve"> </w:t>
      </w:r>
      <w:r w:rsidR="00AD2DDD">
        <w:rPr>
          <w:rFonts w:ascii="Arial" w:hAnsi="Arial" w:hint="cs"/>
          <w:noProof w:val="0"/>
          <w:color w:val="000000" w:themeColor="text1"/>
          <w:rtl/>
        </w:rPr>
        <w:t>הוצאת חוקת המשפחה בע"מ, עמ' 148</w:t>
      </w:r>
      <w:r>
        <w:rPr>
          <w:rFonts w:ascii="Arial" w:hAnsi="Arial"/>
          <w:noProof w:val="0"/>
          <w:color w:val="000000" w:themeColor="text1"/>
          <w:rtl/>
        </w:rPr>
        <w:t>–</w:t>
      </w:r>
      <w:r>
        <w:rPr>
          <w:rFonts w:ascii="Arial" w:hAnsi="Arial" w:hint="cs"/>
          <w:noProof w:val="0"/>
          <w:color w:val="000000" w:themeColor="text1"/>
          <w:rtl/>
        </w:rPr>
        <w:t>150א). הנמקת ביהמ"ש</w:t>
      </w:r>
      <w:r w:rsidR="00AD2DDD">
        <w:rPr>
          <w:rFonts w:ascii="Arial" w:hAnsi="Arial" w:hint="cs"/>
          <w:noProof w:val="0"/>
          <w:color w:val="000000" w:themeColor="text1"/>
          <w:rtl/>
        </w:rPr>
        <w:t xml:space="preserve"> בפסק דין</w:t>
      </w:r>
      <w:r>
        <w:rPr>
          <w:rFonts w:ascii="Arial" w:hAnsi="Arial" w:hint="cs"/>
          <w:noProof w:val="0"/>
          <w:color w:val="000000" w:themeColor="text1"/>
          <w:rtl/>
        </w:rPr>
        <w:t xml:space="preserve"> </w:t>
      </w:r>
      <w:r w:rsidR="00AD2DDD" w:rsidRPr="00AD2DDD">
        <w:rPr>
          <w:rFonts w:ascii="Miriam" w:hAnsi="Miriam" w:cs="Miriam"/>
          <w:noProof w:val="0"/>
          <w:color w:val="000000" w:themeColor="text1"/>
          <w:rtl/>
        </w:rPr>
        <w:t xml:space="preserve">ברזילי </w:t>
      </w:r>
      <w:r>
        <w:rPr>
          <w:rFonts w:ascii="Arial" w:hAnsi="Arial" w:hint="cs"/>
          <w:noProof w:val="0"/>
          <w:color w:val="000000" w:themeColor="text1"/>
          <w:rtl/>
        </w:rPr>
        <w:t xml:space="preserve">מתבססת על העובדה שהוצאות המחייה תלויות השהות מצטמצמות משמעותית אצל קטין השוהה מחוץ לביתו. צויין עוד כי יש לבדוק את תדירות הגעת הקטין לביתו, משך השהות בבית, הוצאות הנסיעות וכיוצ"ב. בפסיקה </w:t>
      </w:r>
      <w:r w:rsidR="00A5067F">
        <w:rPr>
          <w:rFonts w:ascii="Arial" w:hAnsi="Arial" w:hint="cs"/>
          <w:noProof w:val="0"/>
          <w:color w:val="000000" w:themeColor="text1"/>
          <w:rtl/>
        </w:rPr>
        <w:t xml:space="preserve">מאוחרת יותר קבע ביהמ"ש כי יש לבחון כל מקרה לגופו (ראו: תמ"ש 43312/00 </w:t>
      </w:r>
      <w:r w:rsidR="00A5067F" w:rsidRPr="00AD2DDD">
        <w:rPr>
          <w:rFonts w:ascii="Miriam" w:hAnsi="Miriam" w:cs="Miriam"/>
          <w:noProof w:val="0"/>
          <w:color w:val="000000" w:themeColor="text1"/>
          <w:rtl/>
        </w:rPr>
        <w:t>ח.ר. ואח' נ' ח.ל</w:t>
      </w:r>
      <w:r w:rsidR="00A5067F" w:rsidRPr="00AD2DDD">
        <w:rPr>
          <w:rFonts w:ascii="Miriam" w:hAnsi="Miriam" w:cs="Miriam"/>
          <w:noProof w:val="0"/>
          <w:rtl/>
        </w:rPr>
        <w:t>.</w:t>
      </w:r>
      <w:r w:rsidR="00A5067F" w:rsidRPr="00402B79">
        <w:rPr>
          <w:rFonts w:ascii="Arial" w:hAnsi="Arial" w:hint="cs"/>
          <w:noProof w:val="0"/>
          <w:rtl/>
        </w:rPr>
        <w:t xml:space="preserve"> </w:t>
      </w:r>
      <w:r w:rsidR="00402B79">
        <w:rPr>
          <w:rFonts w:ascii="Arial" w:hAnsi="Arial" w:hint="cs"/>
          <w:noProof w:val="0"/>
          <w:rtl/>
        </w:rPr>
        <w:t>(2.1.2005)</w:t>
      </w:r>
      <w:r w:rsidR="00AD2DDD">
        <w:rPr>
          <w:rFonts w:ascii="Arial" w:hAnsi="Arial" w:hint="cs"/>
          <w:noProof w:val="0"/>
          <w:rtl/>
        </w:rPr>
        <w:t>)</w:t>
      </w:r>
      <w:r w:rsidR="00402B79">
        <w:rPr>
          <w:rFonts w:ascii="Arial" w:hAnsi="Arial" w:hint="cs"/>
          <w:noProof w:val="0"/>
          <w:rtl/>
        </w:rPr>
        <w:t xml:space="preserve">. </w:t>
      </w:r>
    </w:p>
    <w:p w:rsidR="00653B83" w:rsidRDefault="00653B83" w:rsidP="00653B83">
      <w:pPr>
        <w:pStyle w:val="ad"/>
        <w:spacing w:line="360" w:lineRule="auto"/>
        <w:ind w:left="567"/>
        <w:jc w:val="both"/>
        <w:rPr>
          <w:rFonts w:ascii="Arial" w:hAnsi="Arial"/>
          <w:noProof w:val="0"/>
          <w:color w:val="000000" w:themeColor="text1"/>
        </w:rPr>
      </w:pPr>
    </w:p>
    <w:p w:rsidR="00A5067F" w:rsidRDefault="00264A38" w:rsidP="00264A38">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בחינת</w:t>
      </w:r>
      <w:r w:rsidR="00A5067F">
        <w:rPr>
          <w:rFonts w:ascii="Arial" w:hAnsi="Arial" w:hint="cs"/>
          <w:noProof w:val="0"/>
          <w:color w:val="000000" w:themeColor="text1"/>
          <w:rtl/>
        </w:rPr>
        <w:t xml:space="preserve"> הפסיקה הדנה בשינוי נסיבות לאחר אישור הסכמות בין ההורים </w:t>
      </w:r>
      <w:r>
        <w:rPr>
          <w:rFonts w:ascii="Arial" w:hAnsi="Arial" w:hint="cs"/>
          <w:noProof w:val="0"/>
          <w:color w:val="000000" w:themeColor="text1"/>
          <w:rtl/>
        </w:rPr>
        <w:t>לאור</w:t>
      </w:r>
      <w:r w:rsidR="00A5067F">
        <w:rPr>
          <w:rFonts w:ascii="Arial" w:hAnsi="Arial" w:hint="cs"/>
          <w:noProof w:val="0"/>
          <w:color w:val="000000" w:themeColor="text1"/>
          <w:rtl/>
        </w:rPr>
        <w:t xml:space="preserve"> הפסיקה הקובעת הפחתה בעת שהות קטין בפנימייה מעלה את הדברים הבאים: אמנם יציאת הקטינה להשמה חוץ ביתית מהווה שינוי נסיבות מהותי, אולם יש לבחון ספציפית את צרכיה של הקטינה הספציפית,</w:t>
      </w:r>
      <w:r>
        <w:rPr>
          <w:rFonts w:ascii="Arial" w:hAnsi="Arial" w:hint="cs"/>
          <w:noProof w:val="0"/>
          <w:color w:val="000000" w:themeColor="text1"/>
          <w:rtl/>
        </w:rPr>
        <w:t xml:space="preserve"> יש צורך לבחון מה נקבע בהסכם בי</w:t>
      </w:r>
      <w:r w:rsidR="00A5067F">
        <w:rPr>
          <w:rFonts w:ascii="Arial" w:hAnsi="Arial" w:hint="cs"/>
          <w:noProof w:val="0"/>
          <w:color w:val="000000" w:themeColor="text1"/>
          <w:rtl/>
        </w:rPr>
        <w:t xml:space="preserve">ן ההורים באלו נסיבות והאם טובתה של הקטינה נשמרת. </w:t>
      </w:r>
      <w:r>
        <w:rPr>
          <w:rFonts w:ascii="Arial" w:hAnsi="Arial" w:hint="cs"/>
          <w:noProof w:val="0"/>
          <w:color w:val="000000" w:themeColor="text1"/>
          <w:rtl/>
        </w:rPr>
        <w:t>אין מקום לפסיקה המתעלמת מכך שניתן פסק דין למזונות (באמצעות פסק דין מנומק או הסכם בין הצדדים) ויש לקחת נסיבה זו בחשבון בעת בחינת הצורך בשינוי, משמעותו ושיעורו.</w:t>
      </w:r>
    </w:p>
    <w:p w:rsidR="00264A38" w:rsidRPr="00264A38" w:rsidRDefault="00264A38" w:rsidP="00264A38">
      <w:pPr>
        <w:pStyle w:val="ad"/>
        <w:rPr>
          <w:rFonts w:ascii="Arial" w:hAnsi="Arial"/>
          <w:noProof w:val="0"/>
          <w:color w:val="000000" w:themeColor="text1"/>
          <w:rtl/>
        </w:rPr>
      </w:pPr>
    </w:p>
    <w:p w:rsidR="00402B79" w:rsidRPr="00264A38" w:rsidRDefault="00402B79" w:rsidP="009A1595">
      <w:pPr>
        <w:pStyle w:val="ad"/>
        <w:numPr>
          <w:ilvl w:val="0"/>
          <w:numId w:val="2"/>
        </w:numPr>
        <w:spacing w:line="360" w:lineRule="auto"/>
        <w:ind w:left="567" w:hanging="567"/>
        <w:jc w:val="both"/>
        <w:rPr>
          <w:rFonts w:ascii="David" w:hAnsi="David"/>
          <w:noProof w:val="0"/>
          <w:sz w:val="22"/>
          <w:szCs w:val="22"/>
        </w:rPr>
      </w:pPr>
      <w:r w:rsidRPr="009A1595">
        <w:rPr>
          <w:rFonts w:ascii="David" w:hAnsi="David"/>
          <w:b/>
          <w:bCs/>
          <w:rtl/>
        </w:rPr>
        <w:t xml:space="preserve">בענייננו לא שוכנעתי כי צרכיה של הקטינה מסופקים וכי אם אעתר לתביעה לא תיפגע טובתה. </w:t>
      </w:r>
      <w:r w:rsidRPr="00264A38">
        <w:rPr>
          <w:rFonts w:ascii="David" w:hAnsi="David"/>
          <w:rtl/>
        </w:rPr>
        <w:t>לפסיקת מזונות יש השפעה ישירה על טובתו ועל סיפוק צרכיו של הקטין.  ב</w:t>
      </w:r>
      <w:r w:rsidRPr="009A1595">
        <w:rPr>
          <w:rFonts w:ascii="Miriam" w:hAnsi="Miriam" w:cs="Miriam"/>
          <w:rtl/>
        </w:rPr>
        <w:t>בע"מ 919/15</w:t>
      </w:r>
      <w:r w:rsidRPr="00264A38">
        <w:rPr>
          <w:rFonts w:ascii="David" w:hAnsi="David"/>
          <w:rtl/>
        </w:rPr>
        <w:t xml:space="preserve"> בית המשפט העליון שם דגש רב על כך שעקרון טובת הילד חולש גם על סוגיית פסיקת המזונות:  </w:t>
      </w:r>
    </w:p>
    <w:p w:rsidR="00402B79" w:rsidRPr="00264A38" w:rsidRDefault="00402B79" w:rsidP="00402B79">
      <w:pPr>
        <w:spacing w:line="360" w:lineRule="auto"/>
        <w:ind w:left="1218" w:right="1134"/>
        <w:jc w:val="both"/>
        <w:rPr>
          <w:rFonts w:ascii="David" w:hAnsi="David"/>
          <w:b/>
          <w:bCs/>
        </w:rPr>
      </w:pPr>
      <w:r w:rsidRPr="00264A38">
        <w:rPr>
          <w:rFonts w:ascii="David" w:hAnsi="David"/>
          <w:b/>
          <w:bCs/>
          <w:rtl/>
        </w:rPr>
        <w:t xml:space="preserve">"טובת הילד – </w:t>
      </w:r>
      <w:r w:rsidRPr="00264A38">
        <w:rPr>
          <w:rFonts w:ascii="David" w:hAnsi="David"/>
          <w:b/>
          <w:bCs/>
          <w:u w:val="single"/>
          <w:rtl/>
        </w:rPr>
        <w:t>"עקרון העל" החולש על סוגיית פסיקת המזונות הוא עקרון טובת הילד.</w:t>
      </w:r>
      <w:r w:rsidRPr="00264A38">
        <w:rPr>
          <w:rFonts w:ascii="David" w:hAnsi="David"/>
          <w:b/>
          <w:bCs/>
          <w:rtl/>
        </w:rPr>
        <w:t xml:space="preserve"> עקרון זה משמש מימים ימימה כ"מפתח" לפתרון מחלוקות שונות בתחום דיני המשפחה. כך, נקבע לא פעם כי על אף שהעימות הישיר בעת גירושין הוא בין ההורים לבין עצמם, </w:t>
      </w:r>
      <w:r w:rsidRPr="00264A38">
        <w:rPr>
          <w:rFonts w:ascii="David" w:hAnsi="David"/>
          <w:b/>
          <w:bCs/>
          <w:u w:val="single"/>
          <w:rtl/>
        </w:rPr>
        <w:t xml:space="preserve">השיקול </w:t>
      </w:r>
      <w:r w:rsidRPr="00264A38">
        <w:rPr>
          <w:rFonts w:ascii="David" w:hAnsi="David"/>
          <w:b/>
          <w:bCs/>
          <w:u w:val="single"/>
          <w:rtl/>
        </w:rPr>
        <w:lastRenderedPageBreak/>
        <w:t>המרכזי שיש לשקול בעת הכרעה בסכסוך הוא טובתו וזכויותיו של הילד</w:t>
      </w:r>
      <w:r w:rsidRPr="00264A38">
        <w:rPr>
          <w:rFonts w:ascii="David" w:hAnsi="David"/>
          <w:b/>
          <w:bCs/>
          <w:rtl/>
        </w:rPr>
        <w:t xml:space="preserve">. הדבר מתחייב הן מעקרונות היסוד במשפט הישראלי והן ממחויבותה של ישראל לאמנה הבינלאומית בדבר זכויות הילד מיום 20.11.1989 (להלן: האמנה בדבר זכויות הילד), שאושררה ונכנסה לתוקף בשנת 1991. לכאורה, מה רבותא בכך? מדוע לומר את המובן מאליו? בחרתי בכל זאת להקדים את הדברים משום </w:t>
      </w:r>
      <w:r w:rsidRPr="00264A38">
        <w:rPr>
          <w:rFonts w:ascii="David" w:hAnsi="David"/>
          <w:b/>
          <w:bCs/>
          <w:u w:val="single"/>
          <w:rtl/>
        </w:rPr>
        <w:t>שבבואנו ליישם את עקרון השוויון שומה יהיה עלינו לבחור – מבין החלופות שבפנינו – אותה חלופה שתקדם באופן המיטבי את טובת הילדים הנוגעים בדבר, ובכלל זה תבטיח כי לא ייחשפו למצבים של מחסור, מחד גיסא, ואף לא לדין ודברים יומיומי בין ההורים באשר ל"התחשבנות" ביניהם בסוגית ההוצאות, מאידך גיסא</w:t>
      </w:r>
      <w:r w:rsidRPr="00264A38">
        <w:rPr>
          <w:rFonts w:ascii="David" w:hAnsi="David"/>
          <w:b/>
          <w:bCs/>
          <w:rtl/>
        </w:rPr>
        <w:t xml:space="preserve">." </w:t>
      </w:r>
      <w:r w:rsidRPr="00264A38">
        <w:rPr>
          <w:rFonts w:ascii="David" w:hAnsi="David"/>
          <w:rtl/>
        </w:rPr>
        <w:t>(ההדגשות בקו – הוספו).</w:t>
      </w:r>
    </w:p>
    <w:p w:rsidR="00402B79" w:rsidRPr="00264A38" w:rsidRDefault="00402B79" w:rsidP="00402B79">
      <w:pPr>
        <w:spacing w:line="360" w:lineRule="auto"/>
        <w:ind w:left="567"/>
        <w:jc w:val="both"/>
        <w:rPr>
          <w:rFonts w:ascii="David" w:hAnsi="David"/>
          <w:sz w:val="20"/>
          <w:szCs w:val="20"/>
        </w:rPr>
      </w:pPr>
      <w:r w:rsidRPr="00264A38">
        <w:rPr>
          <w:rFonts w:ascii="David" w:hAnsi="David"/>
          <w:rtl/>
        </w:rPr>
        <w:t xml:space="preserve">ראו בע"מ 919/15 </w:t>
      </w:r>
      <w:r w:rsidRPr="00264A38">
        <w:rPr>
          <w:rFonts w:ascii="Miriam" w:hAnsi="Miriam" w:cs="Miriam"/>
          <w:rtl/>
        </w:rPr>
        <w:t>פלוני נ' פלונית</w:t>
      </w:r>
      <w:r w:rsidRPr="00264A38">
        <w:rPr>
          <w:rFonts w:ascii="David" w:hAnsi="David"/>
          <w:rtl/>
        </w:rPr>
        <w:t>, פסקה 13 לפסק דינה של כב' השופטת ברק-ארז (19.7.2017).</w:t>
      </w:r>
    </w:p>
    <w:p w:rsidR="00402B79" w:rsidRPr="00264A38" w:rsidRDefault="00402B79" w:rsidP="00402B79">
      <w:pPr>
        <w:spacing w:line="360" w:lineRule="auto"/>
        <w:ind w:left="567"/>
        <w:jc w:val="both"/>
        <w:rPr>
          <w:rFonts w:ascii="David" w:hAnsi="David"/>
          <w:sz w:val="22"/>
          <w:szCs w:val="22"/>
          <w:rtl/>
        </w:rPr>
      </w:pPr>
    </w:p>
    <w:p w:rsidR="006C6979" w:rsidRDefault="00A5067F" w:rsidP="006C6979">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בענייננו סכום המזונות שההורים קבעו בהסכם הוא בסך של 1,400 ₪. סכום זה נקבע בתקופה שבה עדיין לא היה שיאו של הסכסוך. בהמשך להסכמה זו שהייתה כאמור בשנת 2017 התנהלו עוד הליכים רבים (תיק זה הוא תיק מס' 13 בפניי) בין הצדדים. </w:t>
      </w:r>
      <w:r w:rsidR="009A1595">
        <w:rPr>
          <w:rFonts w:ascii="Arial" w:hAnsi="Arial" w:hint="cs"/>
          <w:noProof w:val="0"/>
          <w:color w:val="000000" w:themeColor="text1"/>
          <w:rtl/>
        </w:rPr>
        <w:t xml:space="preserve">זאת, </w:t>
      </w:r>
      <w:r>
        <w:rPr>
          <w:rFonts w:ascii="Arial" w:hAnsi="Arial" w:hint="cs"/>
          <w:noProof w:val="0"/>
          <w:color w:val="000000" w:themeColor="text1"/>
          <w:rtl/>
        </w:rPr>
        <w:t>בעקבות קונפליקט קשה ביותר בין ההורים וחוסר הסכמה נמשך וחוזר של האב לשתף פעולה עם רשויות הרווחה ולקיים החלטות שיפוטיות</w:t>
      </w:r>
      <w:r w:rsidR="009A1595">
        <w:rPr>
          <w:rFonts w:ascii="Arial" w:hAnsi="Arial" w:hint="cs"/>
          <w:noProof w:val="0"/>
          <w:color w:val="000000" w:themeColor="text1"/>
          <w:rtl/>
        </w:rPr>
        <w:t>.</w:t>
      </w:r>
      <w:r>
        <w:rPr>
          <w:rFonts w:ascii="Arial" w:hAnsi="Arial" w:hint="cs"/>
          <w:noProof w:val="0"/>
          <w:color w:val="000000" w:themeColor="text1"/>
          <w:rtl/>
        </w:rPr>
        <w:t xml:space="preserve"> חודשים ארוכים לא היו זמ</w:t>
      </w:r>
      <w:r w:rsidR="006C6979">
        <w:rPr>
          <w:rFonts w:ascii="Arial" w:hAnsi="Arial" w:hint="cs"/>
          <w:noProof w:val="0"/>
          <w:color w:val="000000" w:themeColor="text1"/>
          <w:rtl/>
        </w:rPr>
        <w:t>ני שהות בין האב לבין הקטינה כלל. האב מטעמיו שלו בחר שלא לפרט בעניין זה כלל. אולם נסיבות אלה רלוונטיות גם למצב הנוכחי</w:t>
      </w:r>
      <w:r w:rsidR="009A1595">
        <w:rPr>
          <w:rFonts w:ascii="Arial" w:hAnsi="Arial" w:hint="cs"/>
          <w:noProof w:val="0"/>
          <w:color w:val="000000" w:themeColor="text1"/>
          <w:rtl/>
        </w:rPr>
        <w:t xml:space="preserve"> ולבחינת טובתה של הקטינה</w:t>
      </w:r>
      <w:r w:rsidR="006C6979">
        <w:rPr>
          <w:rFonts w:ascii="Arial" w:hAnsi="Arial" w:hint="cs"/>
          <w:noProof w:val="0"/>
          <w:color w:val="000000" w:themeColor="text1"/>
          <w:rtl/>
        </w:rPr>
        <w:t xml:space="preserve">. </w:t>
      </w:r>
    </w:p>
    <w:p w:rsidR="00402B79" w:rsidRDefault="00402B79" w:rsidP="00402B79">
      <w:pPr>
        <w:pStyle w:val="ad"/>
        <w:spacing w:line="360" w:lineRule="auto"/>
        <w:ind w:left="567"/>
        <w:jc w:val="both"/>
        <w:rPr>
          <w:rFonts w:ascii="Arial" w:hAnsi="Arial"/>
          <w:noProof w:val="0"/>
          <w:color w:val="000000" w:themeColor="text1"/>
        </w:rPr>
      </w:pPr>
    </w:p>
    <w:p w:rsidR="00402B79" w:rsidRDefault="00402B79" w:rsidP="006C6979">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נסיבות חייה של קטינה זו על אף גילה הצעיר לא היו קלות. נסיבות חיים אשר הושפעו ישירות מהקונפליקט הנמשך בין ההורים שהיה ביסוד ההחלטה להוציאה להשמה חוץ ביתית. הפחתת המזונות ועתירה זו של האב הינה המשך ישיר לקונפליקט בין ההורים</w:t>
      </w:r>
      <w:r w:rsidR="009A1595">
        <w:rPr>
          <w:rFonts w:ascii="Arial" w:hAnsi="Arial" w:hint="cs"/>
          <w:noProof w:val="0"/>
          <w:color w:val="000000" w:themeColor="text1"/>
          <w:rtl/>
        </w:rPr>
        <w:t>,</w:t>
      </w:r>
      <w:r>
        <w:rPr>
          <w:rFonts w:ascii="Arial" w:hAnsi="Arial" w:hint="cs"/>
          <w:noProof w:val="0"/>
          <w:color w:val="000000" w:themeColor="text1"/>
          <w:rtl/>
        </w:rPr>
        <w:t xml:space="preserve"> ויש לוודא היטב כי הקטינה לא תשלם גם במחיר סיפוק צרכיה כעת. </w:t>
      </w:r>
    </w:p>
    <w:p w:rsidR="00653B83" w:rsidRDefault="00653B83" w:rsidP="00653B83">
      <w:pPr>
        <w:pStyle w:val="ad"/>
        <w:spacing w:line="360" w:lineRule="auto"/>
        <w:ind w:left="567"/>
        <w:jc w:val="both"/>
        <w:rPr>
          <w:rFonts w:ascii="Arial" w:hAnsi="Arial"/>
          <w:noProof w:val="0"/>
          <w:color w:val="000000" w:themeColor="text1"/>
        </w:rPr>
      </w:pPr>
    </w:p>
    <w:p w:rsidR="00A5067F" w:rsidRDefault="006C6979" w:rsidP="009A1595">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בעת הזו הקטינה יוצאת על פי החלטות שיפוטיות באופן קבוע לביתה של האם</w:t>
      </w:r>
      <w:r w:rsidR="009A1595">
        <w:rPr>
          <w:rFonts w:ascii="Arial" w:hAnsi="Arial" w:hint="cs"/>
          <w:noProof w:val="0"/>
          <w:color w:val="000000" w:themeColor="text1"/>
          <w:rtl/>
        </w:rPr>
        <w:t xml:space="preserve"> בעת שהיא יוצאת מהפנימיי</w:t>
      </w:r>
      <w:r w:rsidR="009A1595">
        <w:rPr>
          <w:rFonts w:ascii="Arial" w:hAnsi="Arial" w:hint="eastAsia"/>
          <w:noProof w:val="0"/>
          <w:color w:val="000000" w:themeColor="text1"/>
          <w:rtl/>
        </w:rPr>
        <w:t>ה</w:t>
      </w:r>
      <w:r>
        <w:rPr>
          <w:rFonts w:ascii="Arial" w:hAnsi="Arial" w:hint="cs"/>
          <w:noProof w:val="0"/>
          <w:color w:val="000000" w:themeColor="text1"/>
          <w:rtl/>
        </w:rPr>
        <w:t>. בכל הנוגע לשהותה אצל הא</w:t>
      </w:r>
      <w:r w:rsidR="009A1595">
        <w:rPr>
          <w:rFonts w:ascii="Arial" w:hAnsi="Arial" w:hint="cs"/>
          <w:noProof w:val="0"/>
          <w:color w:val="000000" w:themeColor="text1"/>
          <w:rtl/>
        </w:rPr>
        <w:t>ב</w:t>
      </w:r>
      <w:r>
        <w:rPr>
          <w:rFonts w:ascii="Arial" w:hAnsi="Arial" w:hint="cs"/>
          <w:noProof w:val="0"/>
          <w:color w:val="000000" w:themeColor="text1"/>
          <w:rtl/>
        </w:rPr>
        <w:t xml:space="preserve"> ולאחר שהאב הפר באופן חוזר ונשנה ניתנה הוראה בתיק הנזקקות כי בעת הזו האב יראה את הקטינה רק בפנימייה. קרי, לאב אין הוצאות עבורה כלל כאשר היא יוצאת מהפנימייה לאם בלבד. </w:t>
      </w:r>
    </w:p>
    <w:p w:rsidR="009A1595" w:rsidRPr="009A1595" w:rsidRDefault="009A1595" w:rsidP="009A1595">
      <w:pPr>
        <w:pStyle w:val="ad"/>
        <w:rPr>
          <w:rFonts w:ascii="Arial" w:hAnsi="Arial"/>
          <w:noProof w:val="0"/>
          <w:color w:val="000000" w:themeColor="text1"/>
          <w:rtl/>
        </w:rPr>
      </w:pPr>
    </w:p>
    <w:p w:rsidR="006C6979" w:rsidRDefault="006C6979" w:rsidP="006C6979">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האב לא פירט כלל מהם צרכי הקטינה בעת הזו לאחר שיצאה לפנימייה. הוא לא פירט כלל מה היו צרכי הקטינה עת נפסקו בהסכמה בין ההורים. למעט טענות כלליות של האב כי יש לבטל </w:t>
      </w:r>
      <w:r>
        <w:rPr>
          <w:rFonts w:ascii="Arial" w:hAnsi="Arial" w:hint="cs"/>
          <w:noProof w:val="0"/>
          <w:color w:val="000000" w:themeColor="text1"/>
          <w:rtl/>
        </w:rPr>
        <w:lastRenderedPageBreak/>
        <w:t xml:space="preserve">את המזונות הוא לא התייחס כלל באופן פרטני לצרכי הקטינה והוצאותיה כיום. </w:t>
      </w:r>
      <w:r w:rsidR="00CF0597">
        <w:rPr>
          <w:rFonts w:ascii="Arial" w:hAnsi="Arial" w:hint="cs"/>
          <w:noProof w:val="0"/>
          <w:color w:val="000000" w:themeColor="text1"/>
          <w:rtl/>
        </w:rPr>
        <w:t xml:space="preserve">האב לא צירף אסמכתאות לתמיכה בטענותיו כלל. </w:t>
      </w:r>
    </w:p>
    <w:p w:rsidR="006C6979" w:rsidRDefault="006C6979" w:rsidP="009A1595">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w:t>
      </w:r>
      <w:r w:rsidR="009A1595">
        <w:rPr>
          <w:rFonts w:ascii="Arial" w:hAnsi="Arial" w:hint="cs"/>
          <w:noProof w:val="0"/>
          <w:color w:val="000000" w:themeColor="text1"/>
          <w:rtl/>
        </w:rPr>
        <w:t>א</w:t>
      </w:r>
      <w:r>
        <w:rPr>
          <w:rFonts w:ascii="Arial" w:hAnsi="Arial" w:hint="cs"/>
          <w:noProof w:val="0"/>
          <w:color w:val="000000" w:themeColor="text1"/>
          <w:rtl/>
        </w:rPr>
        <w:t xml:space="preserve">ם צירפה אסמכתאות רבות (ולא כפי שצויין בסיכומי האב) המעידות על כך שהיא זו שנושאת </w:t>
      </w:r>
      <w:r w:rsidRPr="006C6979">
        <w:rPr>
          <w:rFonts w:ascii="Arial" w:hAnsi="Arial" w:hint="cs"/>
          <w:noProof w:val="0"/>
          <w:color w:val="000000" w:themeColor="text1"/>
          <w:u w:val="single"/>
          <w:rtl/>
        </w:rPr>
        <w:t>במלוא</w:t>
      </w:r>
      <w:r>
        <w:rPr>
          <w:rFonts w:ascii="Arial" w:hAnsi="Arial" w:hint="cs"/>
          <w:noProof w:val="0"/>
          <w:color w:val="000000" w:themeColor="text1"/>
          <w:rtl/>
        </w:rPr>
        <w:t xml:space="preserve"> הוצאות הקטינה הנדרשות לה בכל עת. האם גם פירטה הן בכתב התביעה והן בקד</w:t>
      </w:r>
      <w:r w:rsidR="009A1595">
        <w:rPr>
          <w:rFonts w:ascii="Arial" w:hAnsi="Arial" w:hint="cs"/>
          <w:noProof w:val="0"/>
          <w:color w:val="000000" w:themeColor="text1"/>
          <w:rtl/>
        </w:rPr>
        <w:t xml:space="preserve">"מ ביום 9.1.2022 לבית המשפט, </w:t>
      </w:r>
      <w:r>
        <w:rPr>
          <w:rFonts w:ascii="Arial" w:hAnsi="Arial" w:hint="cs"/>
          <w:noProof w:val="0"/>
          <w:color w:val="000000" w:themeColor="text1"/>
          <w:rtl/>
        </w:rPr>
        <w:t>מה ההוצאות בהן היא נושא עבור הקטינה</w:t>
      </w:r>
      <w:r w:rsidR="009A1595">
        <w:rPr>
          <w:rFonts w:ascii="Arial" w:hAnsi="Arial" w:hint="cs"/>
          <w:noProof w:val="0"/>
          <w:color w:val="000000" w:themeColor="text1"/>
          <w:rtl/>
        </w:rPr>
        <w:t xml:space="preserve"> ומה הם צרכיה של הקטינה</w:t>
      </w:r>
      <w:r>
        <w:rPr>
          <w:rFonts w:ascii="Arial" w:hAnsi="Arial" w:hint="cs"/>
          <w:noProof w:val="0"/>
          <w:color w:val="000000" w:themeColor="text1"/>
          <w:rtl/>
        </w:rPr>
        <w:t xml:space="preserve">. האם הפגינה בקיאות וידעה לפרט באופן מנומק </w:t>
      </w:r>
      <w:r w:rsidR="001E0A31">
        <w:rPr>
          <w:rFonts w:ascii="Arial" w:hAnsi="Arial" w:hint="cs"/>
          <w:noProof w:val="0"/>
          <w:color w:val="000000" w:themeColor="text1"/>
          <w:rtl/>
        </w:rPr>
        <w:t xml:space="preserve">וספציפי את הוצאות הקטינה. </w:t>
      </w:r>
    </w:p>
    <w:p w:rsidR="00653B83" w:rsidRDefault="00653B83" w:rsidP="00653B83">
      <w:pPr>
        <w:pStyle w:val="ad"/>
        <w:spacing w:line="360" w:lineRule="auto"/>
        <w:ind w:left="567"/>
        <w:jc w:val="both"/>
        <w:rPr>
          <w:rFonts w:ascii="Arial" w:hAnsi="Arial"/>
          <w:noProof w:val="0"/>
          <w:color w:val="000000" w:themeColor="text1"/>
        </w:rPr>
      </w:pPr>
    </w:p>
    <w:p w:rsidR="009A1595" w:rsidRDefault="0059473F" w:rsidP="00FF2BF8">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בדיווח שהוגש על ידי עו"ס לחוק נוער בתיק הנזקקות (תנ"ז 56349-03-21) צויין לגבי הקשר של האב עם הפנימייה כך: "</w:t>
      </w:r>
      <w:r w:rsidRPr="009A1595">
        <w:rPr>
          <w:rFonts w:ascii="Arial" w:hAnsi="Arial" w:hint="cs"/>
          <w:b/>
          <w:bCs/>
          <w:noProof w:val="0"/>
          <w:color w:val="000000" w:themeColor="text1"/>
          <w:rtl/>
        </w:rPr>
        <w:t>בתחילת קליטתה הגיע המשיב לבקר בתדירות גבוהה, אולם כיום מגיע פחות אך הוא דואג להתקשר ל</w:t>
      </w:r>
      <w:r w:rsidR="0086388A">
        <w:rPr>
          <w:rFonts w:ascii="Arial" w:hAnsi="Arial" w:hint="cs"/>
          <w:b/>
          <w:bCs/>
          <w:noProof w:val="0"/>
          <w:color w:val="000000" w:themeColor="text1"/>
          <w:rtl/>
        </w:rPr>
        <w:t>***</w:t>
      </w:r>
      <w:r w:rsidRPr="009A1595">
        <w:rPr>
          <w:rFonts w:ascii="Arial" w:hAnsi="Arial" w:hint="cs"/>
          <w:b/>
          <w:bCs/>
          <w:noProof w:val="0"/>
          <w:color w:val="000000" w:themeColor="text1"/>
          <w:rtl/>
        </w:rPr>
        <w:t xml:space="preserve"> בכל מספר ימים</w:t>
      </w:r>
      <w:r>
        <w:rPr>
          <w:rFonts w:ascii="Arial" w:hAnsi="Arial" w:hint="cs"/>
          <w:noProof w:val="0"/>
          <w:color w:val="000000" w:themeColor="text1"/>
          <w:rtl/>
        </w:rPr>
        <w:t xml:space="preserve">". </w:t>
      </w:r>
      <w:r w:rsidR="00DD2864">
        <w:rPr>
          <w:rFonts w:ascii="Arial" w:hAnsi="Arial" w:hint="cs"/>
          <w:noProof w:val="0"/>
          <w:color w:val="000000" w:themeColor="text1"/>
          <w:rtl/>
        </w:rPr>
        <w:t>בדיווח שהוגש על ידי העו"ס לחוק נוער של הפנימייה מיום 8.12.2021 צוין לגבי הקשר עם ההורים: "</w:t>
      </w:r>
      <w:r w:rsidR="00DD2864" w:rsidRPr="009A1595">
        <w:rPr>
          <w:rFonts w:ascii="Arial" w:hAnsi="Arial" w:hint="cs"/>
          <w:b/>
          <w:bCs/>
          <w:noProof w:val="0"/>
          <w:color w:val="000000" w:themeColor="text1"/>
          <w:rtl/>
        </w:rPr>
        <w:t>צוות הפנימייה מקיים קשר שוטף עם הוריה של</w:t>
      </w:r>
      <w:r w:rsidR="0086388A">
        <w:rPr>
          <w:rFonts w:ascii="Arial" w:hAnsi="Arial" w:hint="cs"/>
          <w:b/>
          <w:bCs/>
          <w:noProof w:val="0"/>
          <w:color w:val="000000" w:themeColor="text1"/>
          <w:rtl/>
        </w:rPr>
        <w:t xml:space="preserve"> ***</w:t>
      </w:r>
      <w:r w:rsidR="00DD2864" w:rsidRPr="009A1595">
        <w:rPr>
          <w:rFonts w:ascii="Arial" w:hAnsi="Arial" w:hint="cs"/>
          <w:b/>
          <w:bCs/>
          <w:noProof w:val="0"/>
          <w:color w:val="000000" w:themeColor="text1"/>
          <w:rtl/>
        </w:rPr>
        <w:t>. על אף הקושי העולה בעקבות המתח והמורכבות הקיימים בין השניים, הצלחנו לייצר דרכי עבודה ותקשורת עמם ושיתוף פעולה מלא., אמה של</w:t>
      </w:r>
      <w:r w:rsidR="0086388A">
        <w:rPr>
          <w:rFonts w:ascii="Arial" w:hAnsi="Arial" w:hint="cs"/>
          <w:b/>
          <w:bCs/>
          <w:noProof w:val="0"/>
          <w:color w:val="000000" w:themeColor="text1"/>
          <w:rtl/>
        </w:rPr>
        <w:t>***</w:t>
      </w:r>
      <w:r w:rsidR="00DD2864" w:rsidRPr="009A1595">
        <w:rPr>
          <w:rFonts w:ascii="Arial" w:hAnsi="Arial" w:hint="cs"/>
          <w:b/>
          <w:bCs/>
          <w:noProof w:val="0"/>
          <w:color w:val="000000" w:themeColor="text1"/>
          <w:rtl/>
        </w:rPr>
        <w:t xml:space="preserve">, מגיעה לבקר בדר"כ אחת לשבועיים (לפי תיאום עם הצוות החינוכי). בנוסף, היא דואגת לשמור על קשר טלפוני רציף ומתקשרת אל </w:t>
      </w:r>
      <w:r w:rsidR="0086388A">
        <w:rPr>
          <w:rFonts w:ascii="Arial" w:hAnsi="Arial" w:hint="cs"/>
          <w:b/>
          <w:bCs/>
          <w:noProof w:val="0"/>
          <w:color w:val="000000" w:themeColor="text1"/>
          <w:rtl/>
        </w:rPr>
        <w:t>***</w:t>
      </w:r>
      <w:r w:rsidR="00DD2864" w:rsidRPr="009A1595">
        <w:rPr>
          <w:rFonts w:ascii="Arial" w:hAnsi="Arial" w:hint="cs"/>
          <w:b/>
          <w:bCs/>
          <w:noProof w:val="0"/>
          <w:color w:val="000000" w:themeColor="text1"/>
          <w:rtl/>
        </w:rPr>
        <w:t>בכל יום., אביה של</w:t>
      </w:r>
      <w:r w:rsidR="0086388A">
        <w:rPr>
          <w:rFonts w:ascii="Arial" w:hAnsi="Arial" w:hint="cs"/>
          <w:b/>
          <w:bCs/>
          <w:noProof w:val="0"/>
          <w:color w:val="000000" w:themeColor="text1"/>
          <w:rtl/>
        </w:rPr>
        <w:t xml:space="preserve"> ***</w:t>
      </w:r>
      <w:r w:rsidR="00DD2864" w:rsidRPr="009A1595">
        <w:rPr>
          <w:rFonts w:ascii="Arial" w:hAnsi="Arial" w:hint="cs"/>
          <w:b/>
          <w:bCs/>
          <w:noProof w:val="0"/>
          <w:color w:val="000000" w:themeColor="text1"/>
          <w:rtl/>
        </w:rPr>
        <w:t>, הגיע לבקר לעיתים תכופות בתחילת השנה (בפיקוח שלנו), דבר שהלך והתמעט עם הזמן. כיום הוא כמעט ולא מגיע, בעקבות עומס בעבודה לדבריו עם זאת</w:t>
      </w:r>
      <w:r w:rsidR="0086388A">
        <w:rPr>
          <w:rFonts w:ascii="Arial" w:hAnsi="Arial" w:hint="cs"/>
          <w:b/>
          <w:bCs/>
          <w:noProof w:val="0"/>
          <w:color w:val="000000" w:themeColor="text1"/>
          <w:rtl/>
        </w:rPr>
        <w:t xml:space="preserve"> ---</w:t>
      </w:r>
      <w:r w:rsidR="00DD2864" w:rsidRPr="009A1595">
        <w:rPr>
          <w:rFonts w:ascii="Arial" w:hAnsi="Arial" w:hint="cs"/>
          <w:b/>
          <w:bCs/>
          <w:noProof w:val="0"/>
          <w:color w:val="000000" w:themeColor="text1"/>
          <w:rtl/>
        </w:rPr>
        <w:t xml:space="preserve"> דואג להיות בתקשורת טלפונית עם </w:t>
      </w:r>
      <w:r w:rsidR="0086388A">
        <w:rPr>
          <w:rFonts w:ascii="Arial" w:hAnsi="Arial" w:hint="cs"/>
          <w:b/>
          <w:bCs/>
          <w:noProof w:val="0"/>
          <w:color w:val="000000" w:themeColor="text1"/>
          <w:rtl/>
        </w:rPr>
        <w:t>***</w:t>
      </w:r>
      <w:r w:rsidR="00DD2864" w:rsidRPr="009A1595">
        <w:rPr>
          <w:rFonts w:ascii="Arial" w:hAnsi="Arial" w:hint="cs"/>
          <w:b/>
          <w:bCs/>
          <w:noProof w:val="0"/>
          <w:color w:val="000000" w:themeColor="text1"/>
          <w:rtl/>
        </w:rPr>
        <w:t>ודואג להתקשר בכל מספר ימים</w:t>
      </w:r>
      <w:r w:rsidR="009A1595">
        <w:rPr>
          <w:rFonts w:ascii="Arial" w:hAnsi="Arial" w:hint="cs"/>
          <w:noProof w:val="0"/>
          <w:color w:val="000000" w:themeColor="text1"/>
          <w:rtl/>
        </w:rPr>
        <w:t xml:space="preserve">." </w:t>
      </w:r>
    </w:p>
    <w:p w:rsidR="009A1595" w:rsidRPr="009A1595" w:rsidRDefault="009A1595" w:rsidP="009A1595">
      <w:pPr>
        <w:pStyle w:val="ad"/>
        <w:rPr>
          <w:rFonts w:ascii="Arial" w:hAnsi="Arial"/>
          <w:noProof w:val="0"/>
          <w:color w:val="000000" w:themeColor="text1"/>
          <w:rtl/>
        </w:rPr>
      </w:pPr>
    </w:p>
    <w:p w:rsidR="006C6979" w:rsidRDefault="009A1595" w:rsidP="006D69E0">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העולה מכך כי האם מגיעה בקביעות לפנימיי</w:t>
      </w:r>
      <w:r>
        <w:rPr>
          <w:rFonts w:ascii="Arial" w:hAnsi="Arial" w:hint="eastAsia"/>
          <w:noProof w:val="0"/>
          <w:color w:val="000000" w:themeColor="text1"/>
          <w:rtl/>
        </w:rPr>
        <w:t>ה</w:t>
      </w:r>
      <w:r>
        <w:rPr>
          <w:rFonts w:ascii="Arial" w:hAnsi="Arial" w:hint="cs"/>
          <w:noProof w:val="0"/>
          <w:color w:val="000000" w:themeColor="text1"/>
          <w:rtl/>
        </w:rPr>
        <w:t xml:space="preserve"> ויש לה הוצאות עבור כך. להבדיל מטענות האב כי יש לו הוצאות עבור נסיעות לפנימיי</w:t>
      </w:r>
      <w:r>
        <w:rPr>
          <w:rFonts w:ascii="Arial" w:hAnsi="Arial" w:hint="eastAsia"/>
          <w:noProof w:val="0"/>
          <w:color w:val="000000" w:themeColor="text1"/>
          <w:rtl/>
        </w:rPr>
        <w:t>ה</w:t>
      </w:r>
      <w:r>
        <w:rPr>
          <w:rFonts w:ascii="Arial" w:hAnsi="Arial" w:hint="cs"/>
          <w:noProof w:val="0"/>
          <w:color w:val="000000" w:themeColor="text1"/>
          <w:rtl/>
        </w:rPr>
        <w:t xml:space="preserve"> בסך של 800 ₪ לחודש, עולה כי הוא אינו מגיע לבקר</w:t>
      </w:r>
      <w:r w:rsidR="006D69E0">
        <w:rPr>
          <w:rFonts w:ascii="Arial" w:hAnsi="Arial" w:hint="cs"/>
          <w:noProof w:val="0"/>
          <w:color w:val="000000" w:themeColor="text1"/>
          <w:rtl/>
        </w:rPr>
        <w:t xml:space="preserve"> את הקטינה בפנימייה</w:t>
      </w:r>
      <w:r>
        <w:rPr>
          <w:rFonts w:ascii="Arial" w:hAnsi="Arial" w:hint="cs"/>
          <w:noProof w:val="0"/>
          <w:color w:val="000000" w:themeColor="text1"/>
          <w:rtl/>
        </w:rPr>
        <w:t xml:space="preserve"> כמעט בכלל. כמו כן עולה כי בניגוד </w:t>
      </w:r>
      <w:r w:rsidR="006D69E0">
        <w:rPr>
          <w:rFonts w:ascii="Arial" w:hAnsi="Arial" w:hint="cs"/>
          <w:noProof w:val="0"/>
          <w:color w:val="000000" w:themeColor="text1"/>
          <w:rtl/>
        </w:rPr>
        <w:t>לנטען</w:t>
      </w:r>
      <w:r>
        <w:rPr>
          <w:rFonts w:ascii="Arial" w:hAnsi="Arial" w:hint="cs"/>
          <w:noProof w:val="0"/>
          <w:color w:val="000000" w:themeColor="text1"/>
          <w:rtl/>
        </w:rPr>
        <w:t xml:space="preserve"> על ידו בתביעה</w:t>
      </w:r>
      <w:r w:rsidR="006D69E0">
        <w:rPr>
          <w:rFonts w:ascii="Arial" w:hAnsi="Arial" w:hint="cs"/>
          <w:noProof w:val="0"/>
          <w:color w:val="000000" w:themeColor="text1"/>
          <w:rtl/>
        </w:rPr>
        <w:t xml:space="preserve">, בפני </w:t>
      </w:r>
      <w:r>
        <w:rPr>
          <w:rFonts w:ascii="Arial" w:hAnsi="Arial" w:hint="cs"/>
          <w:noProof w:val="0"/>
          <w:color w:val="000000" w:themeColor="text1"/>
          <w:rtl/>
        </w:rPr>
        <w:t>צוות הפנימייה ציי</w:t>
      </w:r>
      <w:r w:rsidR="006D69E0">
        <w:rPr>
          <w:rFonts w:ascii="Arial" w:hAnsi="Arial" w:hint="cs"/>
          <w:noProof w:val="0"/>
          <w:color w:val="000000" w:themeColor="text1"/>
          <w:rtl/>
        </w:rPr>
        <w:t>ן</w:t>
      </w:r>
      <w:r>
        <w:rPr>
          <w:rFonts w:ascii="Arial" w:hAnsi="Arial" w:hint="cs"/>
          <w:noProof w:val="0"/>
          <w:color w:val="000000" w:themeColor="text1"/>
          <w:rtl/>
        </w:rPr>
        <w:t xml:space="preserve"> האב כי המניעה להגיע היא עומס עבודה. </w:t>
      </w:r>
    </w:p>
    <w:p w:rsidR="00653B83" w:rsidRDefault="00653B83" w:rsidP="00653B83">
      <w:pPr>
        <w:pStyle w:val="ad"/>
        <w:spacing w:line="360" w:lineRule="auto"/>
        <w:ind w:left="567"/>
        <w:jc w:val="both"/>
        <w:rPr>
          <w:rFonts w:ascii="Arial" w:hAnsi="Arial"/>
          <w:noProof w:val="0"/>
          <w:color w:val="000000" w:themeColor="text1"/>
        </w:rPr>
      </w:pPr>
    </w:p>
    <w:p w:rsidR="0059473F" w:rsidRDefault="00CF0597" w:rsidP="0059473F">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מכאן עולה כי האם היא זו אשר מגיעה לפנימייה באופן שוטף. </w:t>
      </w:r>
    </w:p>
    <w:p w:rsidR="00653B83" w:rsidRDefault="00653B83" w:rsidP="00653B83">
      <w:pPr>
        <w:pStyle w:val="ad"/>
        <w:spacing w:line="360" w:lineRule="auto"/>
        <w:ind w:left="567"/>
        <w:jc w:val="both"/>
        <w:rPr>
          <w:rFonts w:ascii="Arial" w:hAnsi="Arial"/>
          <w:noProof w:val="0"/>
          <w:color w:val="000000" w:themeColor="text1"/>
        </w:rPr>
      </w:pPr>
    </w:p>
    <w:p w:rsidR="002E32FF" w:rsidRPr="006D69E0" w:rsidRDefault="00C32EFE" w:rsidP="006D69E0">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יצוין כי האב הפנה בכתב התביעה ובסיכומיו גם למצבו הכלכלי. אולם טענה זו לא נומקה</w:t>
      </w:r>
      <w:r w:rsidR="006D69E0">
        <w:rPr>
          <w:rFonts w:ascii="Arial" w:hAnsi="Arial" w:hint="cs"/>
          <w:noProof w:val="0"/>
          <w:color w:val="000000" w:themeColor="text1"/>
          <w:rtl/>
        </w:rPr>
        <w:t>,</w:t>
      </w:r>
      <w:r>
        <w:rPr>
          <w:rFonts w:ascii="Arial" w:hAnsi="Arial" w:hint="cs"/>
          <w:noProof w:val="0"/>
          <w:color w:val="000000" w:themeColor="text1"/>
          <w:rtl/>
        </w:rPr>
        <w:t xml:space="preserve"> לא בכתב התביעה ולא בסיכומים באופן נדרש על פי הפסיקה כלל. </w:t>
      </w:r>
      <w:r w:rsidR="002E32FF">
        <w:rPr>
          <w:rFonts w:ascii="Arial" w:hAnsi="Arial" w:hint="cs"/>
          <w:noProof w:val="0"/>
          <w:color w:val="000000" w:themeColor="text1"/>
          <w:rtl/>
        </w:rPr>
        <w:t>הוא לא פירט ולו באופן מינימלי מה שינוי הנסיבות שחל ממועד</w:t>
      </w:r>
      <w:r w:rsidR="006D69E0">
        <w:rPr>
          <w:rFonts w:ascii="Arial" w:hAnsi="Arial" w:hint="cs"/>
          <w:noProof w:val="0"/>
          <w:color w:val="000000" w:themeColor="text1"/>
          <w:rtl/>
        </w:rPr>
        <w:t xml:space="preserve"> עריכת ההסכם למועד הגשת התביעה. </w:t>
      </w:r>
      <w:r w:rsidR="002E32FF" w:rsidRPr="006D69E0">
        <w:rPr>
          <w:rFonts w:ascii="Arial" w:hAnsi="Arial" w:hint="cs"/>
          <w:noProof w:val="0"/>
          <w:color w:val="000000" w:themeColor="text1"/>
          <w:rtl/>
        </w:rPr>
        <w:t xml:space="preserve">בנסיבות הללו, אין מקום להידרש לעניין זה כלל. </w:t>
      </w:r>
      <w:r w:rsidR="006D69E0">
        <w:rPr>
          <w:rFonts w:ascii="Arial" w:hAnsi="Arial" w:hint="cs"/>
          <w:noProof w:val="0"/>
          <w:color w:val="000000" w:themeColor="text1"/>
          <w:rtl/>
        </w:rPr>
        <w:t xml:space="preserve">יצויין כי האם הביאה ראיות המעידות כי הליך פשיטת הרגל בו היה נתון האב נוצל על ידו לרעה. </w:t>
      </w:r>
    </w:p>
    <w:p w:rsidR="00653B83" w:rsidRDefault="00653B83" w:rsidP="00653B83">
      <w:pPr>
        <w:pStyle w:val="ad"/>
        <w:spacing w:line="360" w:lineRule="auto"/>
        <w:ind w:left="567"/>
        <w:jc w:val="both"/>
        <w:rPr>
          <w:rFonts w:ascii="Arial" w:hAnsi="Arial"/>
          <w:noProof w:val="0"/>
          <w:color w:val="000000" w:themeColor="text1"/>
        </w:rPr>
      </w:pPr>
    </w:p>
    <w:p w:rsidR="002E32FF" w:rsidRDefault="002E32FF" w:rsidP="006D69E0">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יצוין כי </w:t>
      </w:r>
      <w:r w:rsidR="006D69E0">
        <w:rPr>
          <w:rFonts w:ascii="Arial" w:hAnsi="Arial" w:hint="cs"/>
          <w:noProof w:val="0"/>
          <w:color w:val="000000" w:themeColor="text1"/>
          <w:rtl/>
        </w:rPr>
        <w:t>בתגובה ל</w:t>
      </w:r>
      <w:r>
        <w:rPr>
          <w:rFonts w:ascii="Arial" w:hAnsi="Arial" w:hint="cs"/>
          <w:noProof w:val="0"/>
          <w:color w:val="000000" w:themeColor="text1"/>
          <w:rtl/>
        </w:rPr>
        <w:t>טענות האב</w:t>
      </w:r>
      <w:r w:rsidR="006D69E0">
        <w:rPr>
          <w:rFonts w:ascii="Arial" w:hAnsi="Arial" w:hint="cs"/>
          <w:noProof w:val="0"/>
          <w:color w:val="000000" w:themeColor="text1"/>
          <w:rtl/>
        </w:rPr>
        <w:t>,</w:t>
      </w:r>
      <w:r>
        <w:rPr>
          <w:rFonts w:ascii="Arial" w:hAnsi="Arial" w:hint="cs"/>
          <w:noProof w:val="0"/>
          <w:color w:val="000000" w:themeColor="text1"/>
          <w:rtl/>
        </w:rPr>
        <w:t xml:space="preserve"> האם פירטה את מצבה הכלכלי</w:t>
      </w:r>
      <w:r w:rsidR="00390900">
        <w:rPr>
          <w:rFonts w:ascii="Arial" w:hAnsi="Arial" w:hint="cs"/>
          <w:noProof w:val="0"/>
          <w:color w:val="000000" w:themeColor="text1"/>
          <w:rtl/>
        </w:rPr>
        <w:t xml:space="preserve">. </w:t>
      </w:r>
      <w:r w:rsidR="00653B83" w:rsidRPr="00390900">
        <w:rPr>
          <w:rFonts w:ascii="Arial" w:hAnsi="Arial" w:hint="cs"/>
          <w:noProof w:val="0"/>
          <w:color w:val="000000" w:themeColor="text1"/>
          <w:rtl/>
        </w:rPr>
        <w:t>לאם מצב רפואי מורכב ביותר היא סוב</w:t>
      </w:r>
      <w:r w:rsidR="006D69E0">
        <w:rPr>
          <w:rFonts w:ascii="Arial" w:hAnsi="Arial" w:hint="cs"/>
          <w:noProof w:val="0"/>
          <w:color w:val="000000" w:themeColor="text1"/>
          <w:rtl/>
        </w:rPr>
        <w:t>לת ממגבלות רפואיות ומקבלת קצבה</w:t>
      </w:r>
      <w:r w:rsidR="00653B83" w:rsidRPr="00390900">
        <w:rPr>
          <w:rFonts w:ascii="Arial" w:hAnsi="Arial" w:hint="cs"/>
          <w:noProof w:val="0"/>
          <w:color w:val="000000" w:themeColor="text1"/>
          <w:rtl/>
        </w:rPr>
        <w:t xml:space="preserve"> מהמל"ל בגין נכות</w:t>
      </w:r>
      <w:r w:rsidR="006D69E0">
        <w:rPr>
          <w:rFonts w:ascii="Arial" w:hAnsi="Arial" w:hint="cs"/>
          <w:noProof w:val="0"/>
          <w:color w:val="000000" w:themeColor="text1"/>
          <w:rtl/>
        </w:rPr>
        <w:t>,</w:t>
      </w:r>
      <w:r w:rsidR="00653B83" w:rsidRPr="00390900">
        <w:rPr>
          <w:rFonts w:ascii="Arial" w:hAnsi="Arial" w:hint="cs"/>
          <w:noProof w:val="0"/>
          <w:color w:val="000000" w:themeColor="text1"/>
          <w:rtl/>
        </w:rPr>
        <w:t xml:space="preserve"> ואף ציינה בכתב ההגנה כי </w:t>
      </w:r>
      <w:r w:rsidR="00653B83" w:rsidRPr="00390900">
        <w:rPr>
          <w:rFonts w:ascii="Arial" w:hAnsi="Arial" w:hint="cs"/>
          <w:noProof w:val="0"/>
          <w:color w:val="000000" w:themeColor="text1"/>
          <w:rtl/>
        </w:rPr>
        <w:lastRenderedPageBreak/>
        <w:t xml:space="preserve">היא עובדת במשק בית. היא ציינה כי איננה זכאית לקבלת סיוע משפטי </w:t>
      </w:r>
      <w:r w:rsidR="00653B83" w:rsidRPr="00390900">
        <w:rPr>
          <w:rFonts w:ascii="Arial" w:hAnsi="Arial"/>
          <w:noProof w:val="0"/>
          <w:color w:val="000000" w:themeColor="text1"/>
          <w:rtl/>
        </w:rPr>
        <w:t>–</w:t>
      </w:r>
      <w:r w:rsidR="00653B83" w:rsidRPr="00390900">
        <w:rPr>
          <w:rFonts w:ascii="Arial" w:hAnsi="Arial" w:hint="cs"/>
          <w:noProof w:val="0"/>
          <w:color w:val="000000" w:themeColor="text1"/>
          <w:rtl/>
        </w:rPr>
        <w:t xml:space="preserve"> להבדיל מהאב </w:t>
      </w:r>
      <w:r w:rsidR="00653B83" w:rsidRPr="00390900">
        <w:rPr>
          <w:rFonts w:ascii="Arial" w:hAnsi="Arial"/>
          <w:noProof w:val="0"/>
          <w:color w:val="000000" w:themeColor="text1"/>
          <w:rtl/>
        </w:rPr>
        <w:t>–</w:t>
      </w:r>
      <w:r w:rsidR="00653B83" w:rsidRPr="00390900">
        <w:rPr>
          <w:rFonts w:ascii="Arial" w:hAnsi="Arial" w:hint="cs"/>
          <w:noProof w:val="0"/>
          <w:color w:val="000000" w:themeColor="text1"/>
          <w:rtl/>
        </w:rPr>
        <w:t xml:space="preserve"> מאחר ומשפחתה רכשה עבורה מכונית. </w:t>
      </w:r>
    </w:p>
    <w:p w:rsidR="00390900" w:rsidRDefault="00390900" w:rsidP="006D69E0">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האב אינו מתייחס כלל לשינוי הנסיבות שחל הקשור לזמני השהות עם הקטינה באופן מהותי ומשמעותי.</w:t>
      </w:r>
      <w:r w:rsidR="00CA1F00">
        <w:rPr>
          <w:rFonts w:ascii="Arial" w:hAnsi="Arial" w:hint="cs"/>
          <w:noProof w:val="0"/>
          <w:color w:val="000000" w:themeColor="text1"/>
          <w:rtl/>
        </w:rPr>
        <w:t xml:space="preserve"> כאשר המצב כיום הוא כפי שתואר לעיל כי הקטינה יוצאת </w:t>
      </w:r>
      <w:r w:rsidR="00CA1F00" w:rsidRPr="006D69E0">
        <w:rPr>
          <w:rFonts w:ascii="Arial" w:hAnsi="Arial" w:hint="cs"/>
          <w:noProof w:val="0"/>
          <w:color w:val="000000" w:themeColor="text1"/>
          <w:u w:val="single"/>
          <w:rtl/>
        </w:rPr>
        <w:t>אך ורק</w:t>
      </w:r>
      <w:r w:rsidR="00CA1F00">
        <w:rPr>
          <w:rFonts w:ascii="Arial" w:hAnsi="Arial" w:hint="cs"/>
          <w:noProof w:val="0"/>
          <w:color w:val="000000" w:themeColor="text1"/>
          <w:rtl/>
        </w:rPr>
        <w:t xml:space="preserve"> לביתה של האם וכל הניסיונות לזמני שהות ושיתוף פעולה של האב בעניין זה לא צלחו. </w:t>
      </w:r>
      <w:r w:rsidR="003D6E6D">
        <w:rPr>
          <w:rFonts w:ascii="Arial" w:hAnsi="Arial" w:hint="cs"/>
          <w:noProof w:val="0"/>
          <w:color w:val="000000" w:themeColor="text1"/>
          <w:rtl/>
        </w:rPr>
        <w:t>גם עובדה ז</w:t>
      </w:r>
      <w:r w:rsidR="006D69E0">
        <w:rPr>
          <w:rFonts w:ascii="Arial" w:hAnsi="Arial" w:hint="cs"/>
          <w:noProof w:val="0"/>
          <w:color w:val="000000" w:themeColor="text1"/>
          <w:rtl/>
        </w:rPr>
        <w:t>ו יש לקחת בחשבון בעת בחינת התביעה</w:t>
      </w:r>
      <w:r w:rsidR="003D6E6D">
        <w:rPr>
          <w:rFonts w:ascii="Arial" w:hAnsi="Arial" w:hint="cs"/>
          <w:noProof w:val="0"/>
          <w:color w:val="000000" w:themeColor="text1"/>
          <w:rtl/>
        </w:rPr>
        <w:t xml:space="preserve"> לביטול מזונות. </w:t>
      </w:r>
    </w:p>
    <w:p w:rsidR="00390900" w:rsidRPr="006D69E0" w:rsidRDefault="00390900" w:rsidP="00390900">
      <w:pPr>
        <w:pStyle w:val="ad"/>
        <w:spacing w:line="360" w:lineRule="auto"/>
        <w:ind w:left="567"/>
        <w:jc w:val="both"/>
        <w:rPr>
          <w:rFonts w:ascii="Arial" w:hAnsi="Arial"/>
          <w:noProof w:val="0"/>
          <w:color w:val="000000" w:themeColor="text1"/>
        </w:rPr>
      </w:pPr>
    </w:p>
    <w:p w:rsidR="00390900" w:rsidRPr="006D69E0" w:rsidRDefault="00390900" w:rsidP="00390900">
      <w:pPr>
        <w:pStyle w:val="ad"/>
        <w:numPr>
          <w:ilvl w:val="0"/>
          <w:numId w:val="2"/>
        </w:numPr>
        <w:spacing w:line="360" w:lineRule="auto"/>
        <w:ind w:left="567" w:hanging="567"/>
        <w:jc w:val="both"/>
        <w:rPr>
          <w:rFonts w:ascii="Arial" w:hAnsi="Arial"/>
          <w:b/>
          <w:bCs/>
          <w:noProof w:val="0"/>
          <w:color w:val="000000" w:themeColor="text1"/>
        </w:rPr>
      </w:pPr>
      <w:r w:rsidRPr="006D69E0">
        <w:rPr>
          <w:rFonts w:ascii="Arial" w:hAnsi="Arial" w:hint="cs"/>
          <w:b/>
          <w:bCs/>
          <w:noProof w:val="0"/>
          <w:color w:val="000000" w:themeColor="text1"/>
          <w:rtl/>
        </w:rPr>
        <w:t>סכום המזונות שנקבע בהסכם בין ההורים אינו גבוה. בנסיבות הללו, הפחתה הינה משמעותית אף יותר</w:t>
      </w:r>
      <w:r w:rsidR="006D69E0" w:rsidRPr="006D69E0">
        <w:rPr>
          <w:rFonts w:ascii="Arial" w:hAnsi="Arial" w:hint="cs"/>
          <w:b/>
          <w:bCs/>
          <w:noProof w:val="0"/>
          <w:color w:val="000000" w:themeColor="text1"/>
          <w:rtl/>
        </w:rPr>
        <w:t>,</w:t>
      </w:r>
      <w:r w:rsidRPr="006D69E0">
        <w:rPr>
          <w:rFonts w:ascii="Arial" w:hAnsi="Arial" w:hint="cs"/>
          <w:b/>
          <w:bCs/>
          <w:noProof w:val="0"/>
          <w:color w:val="000000" w:themeColor="text1"/>
          <w:rtl/>
        </w:rPr>
        <w:t xml:space="preserve"> ועל התובע לפרט את המינימום הנדרש להוכחת תביעתו זאת הוא לא עשה. </w:t>
      </w:r>
    </w:p>
    <w:p w:rsidR="00653B83" w:rsidRDefault="00653B83" w:rsidP="00390900">
      <w:pPr>
        <w:pStyle w:val="ad"/>
        <w:spacing w:line="360" w:lineRule="auto"/>
        <w:ind w:left="567"/>
        <w:jc w:val="both"/>
        <w:rPr>
          <w:rFonts w:ascii="Arial" w:hAnsi="Arial"/>
          <w:noProof w:val="0"/>
          <w:color w:val="000000" w:themeColor="text1"/>
        </w:rPr>
      </w:pPr>
    </w:p>
    <w:p w:rsidR="00653B83" w:rsidRDefault="00653B83" w:rsidP="006D69E0">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בכל הנוגע לתיקי מזונות דלתו של ביהמ"ש תמיד פתוחה בקלות יותר ובאופן רחב יותר מאחר ובפסיקה נלקח בחשבון כי הדברים הם דינמיים. עם זאת, אין לאפשר מצב שבו נעשה שימוש בכך להגשת הליך שלא בהתאם לפסיקה</w:t>
      </w:r>
      <w:r w:rsidR="00390900">
        <w:rPr>
          <w:rFonts w:ascii="Arial" w:hAnsi="Arial" w:hint="cs"/>
          <w:noProof w:val="0"/>
          <w:color w:val="000000" w:themeColor="text1"/>
          <w:rtl/>
        </w:rPr>
        <w:t>, וללא נימוקים מספיקים בהתאם לה. זאת גם</w:t>
      </w:r>
      <w:r>
        <w:rPr>
          <w:rFonts w:ascii="Arial" w:hAnsi="Arial" w:hint="cs"/>
          <w:noProof w:val="0"/>
          <w:color w:val="000000" w:themeColor="text1"/>
          <w:rtl/>
        </w:rPr>
        <w:t xml:space="preserve"> באמצעות הסיוע המשפטי כך שעצם הגשת התביעה מוגשת בקלות רבה יותר על ידי התובע מבלי שמופנמות </w:t>
      </w:r>
      <w:r w:rsidR="006D69E0">
        <w:rPr>
          <w:rFonts w:ascii="Arial" w:hAnsi="Arial" w:hint="cs"/>
          <w:noProof w:val="0"/>
          <w:color w:val="000000" w:themeColor="text1"/>
          <w:rtl/>
        </w:rPr>
        <w:t>עלויות</w:t>
      </w:r>
      <w:r>
        <w:rPr>
          <w:rFonts w:ascii="Arial" w:hAnsi="Arial" w:hint="cs"/>
          <w:noProof w:val="0"/>
          <w:color w:val="000000" w:themeColor="text1"/>
          <w:rtl/>
        </w:rPr>
        <w:t xml:space="preserve"> הליך משפטי. </w:t>
      </w:r>
      <w:r w:rsidR="00756ECB">
        <w:rPr>
          <w:rFonts w:ascii="Arial" w:hAnsi="Arial" w:hint="cs"/>
          <w:noProof w:val="0"/>
          <w:color w:val="000000" w:themeColor="text1"/>
          <w:rtl/>
        </w:rPr>
        <w:t>התנהלות זו של התובע מהווה התנהלות שניתן לראות בה ניצול לרעה של ההליך השיפוטי. בית המשפט העליון ציין כי על צד שעותר לסעד מבית המשפט לנהוג גם בתום לב דיוני: "</w:t>
      </w:r>
      <w:r w:rsidR="00756ECB" w:rsidRPr="006D69E0">
        <w:rPr>
          <w:rFonts w:ascii="Arial" w:hAnsi="Arial" w:hint="cs"/>
          <w:b/>
          <w:bCs/>
          <w:noProof w:val="0"/>
          <w:color w:val="000000" w:themeColor="text1"/>
          <w:rtl/>
        </w:rPr>
        <w:t>אציין מבלי לחדש, כי ככלל, על צד העותר לסעד מבית המשפט מוטלת חובה של תום לב דיוני ושל טוהר ההליך השיפוטי</w:t>
      </w:r>
      <w:r w:rsidR="006D69E0">
        <w:rPr>
          <w:rFonts w:ascii="Arial" w:hAnsi="Arial" w:hint="cs"/>
          <w:noProof w:val="0"/>
          <w:color w:val="000000" w:themeColor="text1"/>
          <w:rtl/>
        </w:rPr>
        <w:t xml:space="preserve">" </w:t>
      </w:r>
      <w:r w:rsidR="00756ECB">
        <w:rPr>
          <w:rFonts w:ascii="Arial" w:hAnsi="Arial" w:hint="cs"/>
          <w:noProof w:val="0"/>
          <w:color w:val="000000" w:themeColor="text1"/>
          <w:rtl/>
        </w:rPr>
        <w:t xml:space="preserve">(ראו: בג"צ 10172/09 </w:t>
      </w:r>
      <w:r w:rsidR="00756ECB" w:rsidRPr="006D69E0">
        <w:rPr>
          <w:rFonts w:ascii="Miriam" w:hAnsi="Miriam" w:cs="Miriam"/>
          <w:noProof w:val="0"/>
          <w:color w:val="000000" w:themeColor="text1"/>
          <w:rtl/>
        </w:rPr>
        <w:t>פלוני נ' בית הדין הרבני האזורי ת"א</w:t>
      </w:r>
      <w:r w:rsidR="00756ECB">
        <w:rPr>
          <w:rFonts w:ascii="Arial" w:hAnsi="Arial" w:hint="cs"/>
          <w:noProof w:val="0"/>
          <w:color w:val="000000" w:themeColor="text1"/>
          <w:rtl/>
        </w:rPr>
        <w:t xml:space="preserve"> סעיף 4 לפסק דינו של כב' השופט הנדל (17.6.2010)). </w:t>
      </w:r>
    </w:p>
    <w:p w:rsidR="003D6E6D" w:rsidRDefault="003D6E6D" w:rsidP="003D6E6D">
      <w:pPr>
        <w:pStyle w:val="ad"/>
        <w:spacing w:line="360" w:lineRule="auto"/>
        <w:ind w:left="567"/>
        <w:jc w:val="both"/>
        <w:rPr>
          <w:rFonts w:ascii="Arial" w:hAnsi="Arial"/>
          <w:noProof w:val="0"/>
          <w:color w:val="000000" w:themeColor="text1"/>
        </w:rPr>
      </w:pPr>
    </w:p>
    <w:p w:rsidR="003D6E6D" w:rsidRDefault="003D6E6D" w:rsidP="00653B83">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יש לקחת בחשבון כי האב הגדיר את תביעתו כתביעה </w:t>
      </w:r>
      <w:r w:rsidRPr="006D69E0">
        <w:rPr>
          <w:rFonts w:ascii="Miriam" w:hAnsi="Miriam" w:cs="Miriam"/>
          <w:noProof w:val="0"/>
          <w:color w:val="000000" w:themeColor="text1"/>
          <w:rtl/>
        </w:rPr>
        <w:t>לביטול</w:t>
      </w:r>
      <w:r>
        <w:rPr>
          <w:rFonts w:ascii="Arial" w:hAnsi="Arial" w:hint="cs"/>
          <w:noProof w:val="0"/>
          <w:color w:val="000000" w:themeColor="text1"/>
          <w:rtl/>
        </w:rPr>
        <w:t xml:space="preserve"> תשלום המזונות רק לחילופין עתר להפחתה. כאשר מבוקש לבטל לחלוטין תשלום מזונות</w:t>
      </w:r>
      <w:r w:rsidR="006D69E0">
        <w:rPr>
          <w:rFonts w:ascii="Arial" w:hAnsi="Arial" w:hint="cs"/>
          <w:noProof w:val="0"/>
          <w:color w:val="000000" w:themeColor="text1"/>
          <w:rtl/>
        </w:rPr>
        <w:t>,</w:t>
      </w:r>
      <w:r>
        <w:rPr>
          <w:rFonts w:ascii="Arial" w:hAnsi="Arial" w:hint="cs"/>
          <w:noProof w:val="0"/>
          <w:color w:val="000000" w:themeColor="text1"/>
          <w:rtl/>
        </w:rPr>
        <w:t xml:space="preserve"> לטעמי הנטל להוכחת התביעה הוא נטל מוגבר על מנת לוודא כי זכויותיה, טובתה וצרכיה של הקטינה נשמרים. </w:t>
      </w:r>
    </w:p>
    <w:p w:rsidR="00CB5827" w:rsidRDefault="00CB5827" w:rsidP="00CB5827">
      <w:pPr>
        <w:pStyle w:val="ad"/>
        <w:spacing w:line="360" w:lineRule="auto"/>
        <w:ind w:left="567"/>
        <w:jc w:val="both"/>
        <w:rPr>
          <w:rFonts w:ascii="Arial" w:hAnsi="Arial"/>
          <w:noProof w:val="0"/>
          <w:color w:val="000000" w:themeColor="text1"/>
        </w:rPr>
      </w:pPr>
    </w:p>
    <w:p w:rsidR="00CB5827" w:rsidRDefault="00CB5827" w:rsidP="00653B83">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לא מן הנמנע כי אם האב היה מפרט ומנמק את הדברים כנדרש על פי הפסיקה התוצאה הייתה יכולה להיות אחרת. אולם כל שיש בפני ביהמ"ש הוא התביעה שהוגשה בפניו ועל בסיסה נדרש לפסוק.</w:t>
      </w:r>
    </w:p>
    <w:p w:rsidR="000D230F" w:rsidRPr="000D230F" w:rsidRDefault="000D230F" w:rsidP="000D230F">
      <w:pPr>
        <w:pStyle w:val="ad"/>
        <w:rPr>
          <w:rFonts w:ascii="Arial" w:hAnsi="Arial"/>
          <w:noProof w:val="0"/>
          <w:color w:val="000000" w:themeColor="text1"/>
          <w:rtl/>
        </w:rPr>
      </w:pPr>
    </w:p>
    <w:p w:rsidR="000D230F" w:rsidRPr="000D230F" w:rsidRDefault="000D230F" w:rsidP="006D69E0">
      <w:pPr>
        <w:pStyle w:val="ad"/>
        <w:numPr>
          <w:ilvl w:val="0"/>
          <w:numId w:val="2"/>
        </w:numPr>
        <w:spacing w:line="360" w:lineRule="auto"/>
        <w:ind w:left="567" w:hanging="567"/>
        <w:jc w:val="both"/>
        <w:rPr>
          <w:rFonts w:ascii="Arial" w:hAnsi="Arial"/>
          <w:noProof w:val="0"/>
          <w:color w:val="000000" w:themeColor="text1"/>
        </w:rPr>
      </w:pPr>
      <w:r w:rsidRPr="000D230F">
        <w:rPr>
          <w:rFonts w:ascii="Arial" w:hAnsi="Arial" w:hint="cs"/>
          <w:noProof w:val="0"/>
          <w:color w:val="000000" w:themeColor="text1"/>
          <w:rtl/>
        </w:rPr>
        <w:t xml:space="preserve">בכל הנוגע לטענת האב כי די בבע"מ 919/15 על מנת להורות על שינוי המזונות </w:t>
      </w:r>
      <w:r w:rsidRPr="000D230F">
        <w:rPr>
          <w:rFonts w:ascii="Arial" w:hAnsi="Arial"/>
          <w:noProof w:val="0"/>
          <w:color w:val="000000" w:themeColor="text1"/>
          <w:rtl/>
        </w:rPr>
        <w:t>–</w:t>
      </w:r>
      <w:r w:rsidRPr="000D230F">
        <w:rPr>
          <w:rFonts w:ascii="Arial" w:hAnsi="Arial" w:hint="cs"/>
          <w:noProof w:val="0"/>
          <w:color w:val="000000" w:themeColor="text1"/>
          <w:rtl/>
        </w:rPr>
        <w:t xml:space="preserve"> דין טענה זו להידחות. </w:t>
      </w:r>
      <w:r w:rsidRPr="000D230F">
        <w:rPr>
          <w:rFonts w:ascii="David" w:hAnsi="David"/>
          <w:rtl/>
        </w:rPr>
        <w:t xml:space="preserve">בהתאם להלכה שנקבעה בבע"מ 7670/18 במקרה בו עסקינן בתביעה להפחתת מזונות שנקבעו במסגרת הסכם גירושין, לא די בבע"מ 919/15 על מנת להוכיח שינוי נסיבות מהותי, אלא נדרש להוכיח שינוי נסיבות מהותי עובדתי, כזה המצדיק שינוי בשיעור המזונות </w:t>
      </w:r>
      <w:r w:rsidRPr="000D230F">
        <w:rPr>
          <w:rFonts w:ascii="David" w:hAnsi="David"/>
          <w:rtl/>
        </w:rPr>
        <w:lastRenderedPageBreak/>
        <w:t xml:space="preserve">ובחינת תום הלב של העותר להפחתה במזונות. ראו: בע"מ 7670/18 </w:t>
      </w:r>
      <w:r w:rsidRPr="000D230F">
        <w:rPr>
          <w:rFonts w:ascii="Miriam" w:hAnsi="Miriam" w:cs="Miriam"/>
          <w:rtl/>
        </w:rPr>
        <w:t>פלונית נ' פלוני</w:t>
      </w:r>
      <w:r w:rsidRPr="000D230F">
        <w:rPr>
          <w:rFonts w:ascii="David" w:hAnsi="David"/>
          <w:rtl/>
        </w:rPr>
        <w:t xml:space="preserve"> (20.1.2021) סעיף 12 לפסק דינו של כב' השופט הנדל. </w:t>
      </w:r>
    </w:p>
    <w:p w:rsidR="000D230F" w:rsidRDefault="000D230F" w:rsidP="000D230F">
      <w:pPr>
        <w:pStyle w:val="ad"/>
        <w:spacing w:after="160" w:line="360" w:lineRule="auto"/>
        <w:ind w:left="567"/>
        <w:jc w:val="both"/>
        <w:rPr>
          <w:noProof w:val="0"/>
        </w:rPr>
      </w:pPr>
    </w:p>
    <w:p w:rsidR="00CB5827" w:rsidRPr="006D69E0" w:rsidRDefault="00CB5827" w:rsidP="00CB5827">
      <w:pPr>
        <w:pStyle w:val="ad"/>
        <w:numPr>
          <w:ilvl w:val="0"/>
          <w:numId w:val="2"/>
        </w:numPr>
        <w:spacing w:line="360" w:lineRule="auto"/>
        <w:ind w:left="567" w:hanging="567"/>
        <w:jc w:val="both"/>
        <w:rPr>
          <w:rFonts w:ascii="Arial" w:hAnsi="Arial"/>
          <w:b/>
          <w:bCs/>
          <w:noProof w:val="0"/>
          <w:color w:val="000000" w:themeColor="text1"/>
        </w:rPr>
      </w:pPr>
      <w:r w:rsidRPr="006D69E0">
        <w:rPr>
          <w:rFonts w:ascii="Arial" w:hAnsi="Arial" w:hint="cs"/>
          <w:b/>
          <w:bCs/>
          <w:noProof w:val="0"/>
          <w:color w:val="000000" w:themeColor="text1"/>
          <w:rtl/>
        </w:rPr>
        <w:t xml:space="preserve">אשר על כן, ולאור כל האמור לעיל, אני מורה על דחיית התביעה. </w:t>
      </w:r>
    </w:p>
    <w:p w:rsidR="00756ECB" w:rsidRDefault="00756ECB" w:rsidP="00CB5827">
      <w:pPr>
        <w:pStyle w:val="ad"/>
        <w:spacing w:line="360" w:lineRule="auto"/>
        <w:ind w:left="567"/>
        <w:jc w:val="both"/>
        <w:rPr>
          <w:rFonts w:ascii="Arial" w:hAnsi="Arial"/>
          <w:noProof w:val="0"/>
          <w:color w:val="000000" w:themeColor="text1"/>
        </w:rPr>
      </w:pPr>
    </w:p>
    <w:p w:rsidR="00CB5827" w:rsidRDefault="00CB5827" w:rsidP="00653B83">
      <w:pPr>
        <w:pStyle w:val="ad"/>
        <w:numPr>
          <w:ilvl w:val="0"/>
          <w:numId w:val="2"/>
        </w:numPr>
        <w:spacing w:line="360" w:lineRule="auto"/>
        <w:ind w:left="567" w:hanging="567"/>
        <w:jc w:val="both"/>
        <w:rPr>
          <w:rFonts w:ascii="Arial" w:hAnsi="Arial"/>
          <w:noProof w:val="0"/>
          <w:color w:val="000000" w:themeColor="text1"/>
        </w:rPr>
      </w:pPr>
      <w:r>
        <w:rPr>
          <w:rFonts w:ascii="Arial" w:hAnsi="Arial" w:hint="cs"/>
          <w:noProof w:val="0"/>
          <w:color w:val="000000" w:themeColor="text1"/>
          <w:rtl/>
        </w:rPr>
        <w:t xml:space="preserve">התובע יישא בהוצאות הנתבעת בהליך זה בסך של 5,265 ₪, אשר ישולמו בתוך 30 יום, ולא </w:t>
      </w:r>
      <w:r>
        <w:rPr>
          <w:rFonts w:ascii="Arial" w:hAnsi="Arial"/>
          <w:noProof w:val="0"/>
          <w:color w:val="000000" w:themeColor="text1"/>
          <w:rtl/>
        </w:rPr>
        <w:t>–</w:t>
      </w:r>
      <w:r>
        <w:rPr>
          <w:rFonts w:ascii="Arial" w:hAnsi="Arial" w:hint="cs"/>
          <w:noProof w:val="0"/>
          <w:color w:val="000000" w:themeColor="text1"/>
          <w:rtl/>
        </w:rPr>
        <w:t xml:space="preserve"> יישאו הפרשי ריבית והצמדה כדין. </w:t>
      </w:r>
    </w:p>
    <w:p w:rsidR="00756ECB" w:rsidRDefault="00756ECB" w:rsidP="00756ECB">
      <w:pPr>
        <w:pStyle w:val="ad"/>
        <w:spacing w:line="360" w:lineRule="auto"/>
        <w:ind w:left="567"/>
        <w:jc w:val="both"/>
        <w:rPr>
          <w:rFonts w:ascii="Arial" w:hAnsi="Arial"/>
          <w:noProof w:val="0"/>
          <w:color w:val="000000" w:themeColor="text1"/>
        </w:rPr>
      </w:pPr>
    </w:p>
    <w:p w:rsidR="00CB5827" w:rsidRPr="007109C7" w:rsidRDefault="00756ECB" w:rsidP="00653B83">
      <w:pPr>
        <w:pStyle w:val="ad"/>
        <w:numPr>
          <w:ilvl w:val="0"/>
          <w:numId w:val="2"/>
        </w:numPr>
        <w:spacing w:line="360" w:lineRule="auto"/>
        <w:ind w:left="567" w:hanging="567"/>
        <w:jc w:val="both"/>
        <w:rPr>
          <w:rFonts w:ascii="Arial" w:hAnsi="Arial"/>
          <w:noProof w:val="0"/>
          <w:color w:val="000000" w:themeColor="text1"/>
          <w:rtl/>
        </w:rPr>
      </w:pPr>
      <w:r>
        <w:rPr>
          <w:rFonts w:ascii="Arial" w:hAnsi="Arial" w:hint="cs"/>
          <w:b/>
          <w:bCs/>
          <w:noProof w:val="0"/>
          <w:color w:val="000000" w:themeColor="text1"/>
          <w:u w:val="single"/>
          <w:rtl/>
        </w:rPr>
        <w:t>המזכירות</w:t>
      </w:r>
      <w:r>
        <w:rPr>
          <w:rFonts w:ascii="Arial" w:hAnsi="Arial" w:hint="cs"/>
          <w:noProof w:val="0"/>
          <w:color w:val="000000" w:themeColor="text1"/>
          <w:rtl/>
        </w:rPr>
        <w:t xml:space="preserve"> תסגור את התיק.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כ"ד אדר 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27 מרץ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3702E8">
      <w:pPr>
        <w:spacing w:line="360" w:lineRule="auto"/>
        <w:ind w:left="3600" w:firstLine="720"/>
        <w:jc w:val="both"/>
      </w:pPr>
      <w:sdt>
        <w:sdtPr>
          <w:rPr>
            <w:rtl/>
          </w:rPr>
          <w:alias w:val="MergeField"/>
          <w:tag w:val="1237"/>
          <w:id w:val="-74601401"/>
        </w:sdtPr>
        <w:sdtEndPr/>
        <w:sdtContent>
          <w:r w:rsidR="00D76C5C">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5452B6">
      <w:pPr>
        <w:spacing w:line="360" w:lineRule="auto"/>
        <w:jc w:val="both"/>
        <w:rPr>
          <w:rFonts w:ascii="Arial" w:hAnsi="Arial"/>
          <w:noProof w:val="0"/>
          <w:rtl/>
        </w:rPr>
      </w:pPr>
      <w:r>
        <w:rPr>
          <w:rFonts w:ascii="Arial" w:hAnsi="Arial" w:hint="cs"/>
          <w:noProof w:val="0"/>
          <w:rtl/>
        </w:rPr>
        <w:t>פסק הדין הותר לפרסום בהחלטה מיום 4.9.23.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2E8" w:rsidRDefault="003702E8">
      <w:r>
        <w:separator/>
      </w:r>
    </w:p>
  </w:endnote>
  <w:endnote w:type="continuationSeparator" w:id="0">
    <w:p w:rsidR="003702E8" w:rsidRDefault="0037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CF" w:rsidRDefault="002A17C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A17CF">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A17CF">
      <w:rPr>
        <w:rStyle w:val="ab"/>
        <w:rtl/>
      </w:rPr>
      <w:t>8</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CF" w:rsidRDefault="002A17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2E8" w:rsidRDefault="003702E8">
      <w:r>
        <w:separator/>
      </w:r>
    </w:p>
  </w:footnote>
  <w:footnote w:type="continuationSeparator" w:id="0">
    <w:p w:rsidR="003702E8" w:rsidRDefault="00370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CF" w:rsidRDefault="002A17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3702E8" w:rsidP="00B25D04">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45608-10-21</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B25D04">
                <w:rPr>
                  <w:rFonts w:hint="cs"/>
                  <w:b/>
                  <w:bCs/>
                  <w:noProof w:val="0"/>
                  <w:sz w:val="26"/>
                  <w:szCs w:val="26"/>
                  <w:rtl/>
                </w:rPr>
                <w:t>פלוני</w:t>
              </w:r>
              <w:r w:rsidR="00B25D04">
                <w:rPr>
                  <w:b/>
                  <w:bCs/>
                  <w:noProof w:val="0"/>
                  <w:sz w:val="26"/>
                  <w:szCs w:val="26"/>
                  <w:rtl/>
                </w:rPr>
                <w:t xml:space="preserve"> נ' </w:t>
              </w:r>
              <w:r w:rsidR="00B25D04">
                <w:rPr>
                  <w:rFonts w:hint="cs"/>
                  <w:b/>
                  <w:bCs/>
                  <w:noProof w:val="0"/>
                  <w:sz w:val="26"/>
                  <w:szCs w:val="26"/>
                  <w:rtl/>
                </w:rPr>
                <w:t>אלמונית</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7CF" w:rsidRDefault="002A17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D4C78"/>
    <w:multiLevelType w:val="hybridMultilevel"/>
    <w:tmpl w:val="ACA827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86444"/>
    <w:multiLevelType w:val="hybridMultilevel"/>
    <w:tmpl w:val="0C380BFC"/>
    <w:lvl w:ilvl="0" w:tplc="3DA2BDC0">
      <w:start w:val="1"/>
      <w:numFmt w:val="decimal"/>
      <w:lvlText w:val="%1."/>
      <w:lvlJc w:val="left"/>
      <w:pPr>
        <w:ind w:left="567" w:hanging="567"/>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BBD23B9"/>
    <w:multiLevelType w:val="hybridMultilevel"/>
    <w:tmpl w:val="6D362142"/>
    <w:lvl w:ilvl="0" w:tplc="3FC26EE4">
      <w:start w:val="1"/>
      <w:numFmt w:val="decimal"/>
      <w:lvlText w:val="%1."/>
      <w:lvlJc w:val="left"/>
      <w:pPr>
        <w:ind w:left="567" w:hanging="567"/>
      </w:pPr>
      <w:rPr>
        <w:b w:val="0"/>
        <w:bCs w:val="0"/>
        <w:color w:val="auto"/>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D821141"/>
    <w:multiLevelType w:val="hybridMultilevel"/>
    <w:tmpl w:val="CD1C5B6A"/>
    <w:lvl w:ilvl="0" w:tplc="8DEAB7C6">
      <w:start w:val="1"/>
      <w:numFmt w:val="decimal"/>
      <w:lvlText w:val="%1."/>
      <w:lvlJc w:val="left"/>
      <w:pPr>
        <w:ind w:left="2160" w:hanging="360"/>
      </w:pPr>
      <w:rPr>
        <w:b w:val="0"/>
        <w:bCs w:val="0"/>
        <w:sz w:val="24"/>
        <w:szCs w:val="2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66580174"/>
    <w:multiLevelType w:val="hybridMultilevel"/>
    <w:tmpl w:val="1A54511A"/>
    <w:lvl w:ilvl="0" w:tplc="7A5A639C">
      <w:start w:val="1"/>
      <w:numFmt w:val="decimal"/>
      <w:lvlText w:val="%1."/>
      <w:lvlJc w:val="left"/>
      <w:pPr>
        <w:ind w:left="567" w:hanging="567"/>
      </w:pPr>
      <w:rPr>
        <w:rFonts w:ascii="David" w:hAnsi="David" w:cs="David" w:hint="default"/>
        <w:b w:val="0"/>
        <w:bCs w:val="0"/>
        <w:color w:val="auto"/>
        <w:sz w:val="24"/>
        <w:szCs w:val="24"/>
        <w:lang w:bidi="he-IL"/>
      </w:rPr>
    </w:lvl>
    <w:lvl w:ilvl="1" w:tplc="C4382B30">
      <w:start w:val="1"/>
      <w:numFmt w:val="lowerLetter"/>
      <w:lvlText w:val="%2."/>
      <w:lvlJc w:val="left"/>
      <w:pPr>
        <w:ind w:left="1440" w:hanging="360"/>
      </w:pPr>
    </w:lvl>
    <w:lvl w:ilvl="2" w:tplc="1522022E">
      <w:start w:val="1"/>
      <w:numFmt w:val="lowerRoman"/>
      <w:lvlText w:val="%3."/>
      <w:lvlJc w:val="right"/>
      <w:pPr>
        <w:ind w:left="2160" w:hanging="180"/>
      </w:pPr>
    </w:lvl>
    <w:lvl w:ilvl="3" w:tplc="1A6ACAC4">
      <w:start w:val="1"/>
      <w:numFmt w:val="decimal"/>
      <w:lvlText w:val="%4."/>
      <w:lvlJc w:val="left"/>
      <w:pPr>
        <w:ind w:left="2880" w:hanging="360"/>
      </w:pPr>
    </w:lvl>
    <w:lvl w:ilvl="4" w:tplc="3C8661BC">
      <w:start w:val="1"/>
      <w:numFmt w:val="lowerLetter"/>
      <w:lvlText w:val="%5."/>
      <w:lvlJc w:val="left"/>
      <w:pPr>
        <w:ind w:left="3600" w:hanging="360"/>
      </w:pPr>
    </w:lvl>
    <w:lvl w:ilvl="5" w:tplc="02CA4CB8">
      <w:start w:val="1"/>
      <w:numFmt w:val="lowerRoman"/>
      <w:lvlText w:val="%6."/>
      <w:lvlJc w:val="right"/>
      <w:pPr>
        <w:ind w:left="4320" w:hanging="180"/>
      </w:pPr>
    </w:lvl>
    <w:lvl w:ilvl="6" w:tplc="C3203952">
      <w:start w:val="1"/>
      <w:numFmt w:val="decimal"/>
      <w:lvlText w:val="%7."/>
      <w:lvlJc w:val="left"/>
      <w:pPr>
        <w:ind w:left="5040" w:hanging="360"/>
      </w:pPr>
    </w:lvl>
    <w:lvl w:ilvl="7" w:tplc="63C888A8">
      <w:start w:val="1"/>
      <w:numFmt w:val="lowerLetter"/>
      <w:lvlText w:val="%8."/>
      <w:lvlJc w:val="left"/>
      <w:pPr>
        <w:ind w:left="5760" w:hanging="360"/>
      </w:pPr>
    </w:lvl>
    <w:lvl w:ilvl="8" w:tplc="31DE6882">
      <w:start w:val="1"/>
      <w:numFmt w:val="lowerRoman"/>
      <w:lvlText w:val="%9."/>
      <w:lvlJc w:val="right"/>
      <w:pPr>
        <w:ind w:left="6480" w:hanging="180"/>
      </w:pPr>
    </w:lvl>
  </w:abstractNum>
  <w:num w:numId="1">
    <w:abstractNumId w:val="0"/>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D230F"/>
    <w:rsid w:val="001A04AF"/>
    <w:rsid w:val="001E0A31"/>
    <w:rsid w:val="002619BF"/>
    <w:rsid w:val="00264A38"/>
    <w:rsid w:val="00265648"/>
    <w:rsid w:val="002914D6"/>
    <w:rsid w:val="002A17CF"/>
    <w:rsid w:val="002E32FF"/>
    <w:rsid w:val="002E357B"/>
    <w:rsid w:val="002F5307"/>
    <w:rsid w:val="003702E8"/>
    <w:rsid w:val="00382D51"/>
    <w:rsid w:val="00390900"/>
    <w:rsid w:val="003D6E6D"/>
    <w:rsid w:val="003F0689"/>
    <w:rsid w:val="00402B79"/>
    <w:rsid w:val="005452B6"/>
    <w:rsid w:val="0059473F"/>
    <w:rsid w:val="00653B83"/>
    <w:rsid w:val="0066139B"/>
    <w:rsid w:val="00666802"/>
    <w:rsid w:val="006C4051"/>
    <w:rsid w:val="006C6979"/>
    <w:rsid w:val="006D69E0"/>
    <w:rsid w:val="007109C7"/>
    <w:rsid w:val="00756ECB"/>
    <w:rsid w:val="00757E71"/>
    <w:rsid w:val="007B0296"/>
    <w:rsid w:val="007C08E3"/>
    <w:rsid w:val="007C1077"/>
    <w:rsid w:val="007C6BD7"/>
    <w:rsid w:val="00822AA5"/>
    <w:rsid w:val="0086388A"/>
    <w:rsid w:val="008953AC"/>
    <w:rsid w:val="008E4A1A"/>
    <w:rsid w:val="0091072C"/>
    <w:rsid w:val="009108D7"/>
    <w:rsid w:val="00927CD0"/>
    <w:rsid w:val="009A1595"/>
    <w:rsid w:val="00A5067F"/>
    <w:rsid w:val="00AD2DDD"/>
    <w:rsid w:val="00B25D04"/>
    <w:rsid w:val="00B537AF"/>
    <w:rsid w:val="00B8190A"/>
    <w:rsid w:val="00BB0822"/>
    <w:rsid w:val="00BD18F5"/>
    <w:rsid w:val="00BD4CE2"/>
    <w:rsid w:val="00BD5B6B"/>
    <w:rsid w:val="00BF32D9"/>
    <w:rsid w:val="00C32EFE"/>
    <w:rsid w:val="00C40239"/>
    <w:rsid w:val="00C5126B"/>
    <w:rsid w:val="00C66CE9"/>
    <w:rsid w:val="00C86FA2"/>
    <w:rsid w:val="00C931BD"/>
    <w:rsid w:val="00CA1F00"/>
    <w:rsid w:val="00CB5827"/>
    <w:rsid w:val="00CD43DC"/>
    <w:rsid w:val="00CF0597"/>
    <w:rsid w:val="00D358FE"/>
    <w:rsid w:val="00D54B3A"/>
    <w:rsid w:val="00D5614F"/>
    <w:rsid w:val="00D76C5C"/>
    <w:rsid w:val="00DD2864"/>
    <w:rsid w:val="00E01464"/>
    <w:rsid w:val="00E549F3"/>
    <w:rsid w:val="00E9298F"/>
    <w:rsid w:val="00EA639F"/>
    <w:rsid w:val="00F50E07"/>
    <w:rsid w:val="00F706EB"/>
    <w:rsid w:val="00F737CF"/>
    <w:rsid w:val="00FC3D4E"/>
    <w:rsid w:val="00FD5BA9"/>
    <w:rsid w:val="00FF2BF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4B227D-DCEF-4F87-97F2-5BD5D42D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F737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19657">
      <w:bodyDiv w:val="1"/>
      <w:marLeft w:val="0"/>
      <w:marRight w:val="0"/>
      <w:marTop w:val="0"/>
      <w:marBottom w:val="0"/>
      <w:divBdr>
        <w:top w:val="none" w:sz="0" w:space="0" w:color="auto"/>
        <w:left w:val="none" w:sz="0" w:space="0" w:color="auto"/>
        <w:bottom w:val="none" w:sz="0" w:space="0" w:color="auto"/>
        <w:right w:val="none" w:sz="0" w:space="0" w:color="auto"/>
      </w:divBdr>
    </w:div>
    <w:div w:id="1060252537">
      <w:bodyDiv w:val="1"/>
      <w:marLeft w:val="0"/>
      <w:marRight w:val="0"/>
      <w:marTop w:val="0"/>
      <w:marBottom w:val="0"/>
      <w:divBdr>
        <w:top w:val="none" w:sz="0" w:space="0" w:color="auto"/>
        <w:left w:val="none" w:sz="0" w:space="0" w:color="auto"/>
        <w:bottom w:val="none" w:sz="0" w:space="0" w:color="auto"/>
        <w:right w:val="none" w:sz="0" w:space="0" w:color="auto"/>
      </w:divBdr>
    </w:div>
    <w:div w:id="1171412987">
      <w:bodyDiv w:val="1"/>
      <w:marLeft w:val="0"/>
      <w:marRight w:val="0"/>
      <w:marTop w:val="0"/>
      <w:marBottom w:val="0"/>
      <w:divBdr>
        <w:top w:val="none" w:sz="0" w:space="0" w:color="auto"/>
        <w:left w:val="none" w:sz="0" w:space="0" w:color="auto"/>
        <w:bottom w:val="none" w:sz="0" w:space="0" w:color="auto"/>
        <w:right w:val="none" w:sz="0" w:space="0" w:color="auto"/>
      </w:divBdr>
    </w:div>
    <w:div w:id="1294016338">
      <w:bodyDiv w:val="1"/>
      <w:marLeft w:val="0"/>
      <w:marRight w:val="0"/>
      <w:marTop w:val="0"/>
      <w:marBottom w:val="0"/>
      <w:divBdr>
        <w:top w:val="none" w:sz="0" w:space="0" w:color="auto"/>
        <w:left w:val="none" w:sz="0" w:space="0" w:color="auto"/>
        <w:bottom w:val="none" w:sz="0" w:space="0" w:color="auto"/>
        <w:right w:val="none" w:sz="0" w:space="0" w:color="auto"/>
      </w:divBdr>
    </w:div>
    <w:div w:id="151337724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0829366">
      <w:bodyDiv w:val="1"/>
      <w:marLeft w:val="0"/>
      <w:marRight w:val="0"/>
      <w:marTop w:val="0"/>
      <w:marBottom w:val="0"/>
      <w:divBdr>
        <w:top w:val="none" w:sz="0" w:space="0" w:color="auto"/>
        <w:left w:val="none" w:sz="0" w:space="0" w:color="auto"/>
        <w:bottom w:val="none" w:sz="0" w:space="0" w:color="auto"/>
        <w:right w:val="none" w:sz="0" w:space="0" w:color="auto"/>
      </w:divBdr>
    </w:div>
    <w:div w:id="193077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2161</Words>
  <Characters>10808</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2023-09-20T09:44:00Z</dcterms:created>
  <dcterms:modified xsi:type="dcterms:W3CDTF">2023-09-20T09:44:00Z</dcterms:modified>
</cp:coreProperties>
</file>